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FE7A" w14:textId="6DF9B8C5" w:rsidR="006D77FD" w:rsidRDefault="002246D8" w:rsidP="0057286D">
      <w:pPr>
        <w:spacing w:before="240"/>
        <w:rPr>
          <w:rFonts w:ascii="Candara" w:hAnsi="Candara" w:cs="Times"/>
          <w:b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QE </w:t>
      </w:r>
      <w:r w:rsidR="0050495E">
        <w:rPr>
          <w:rFonts w:ascii="Candara" w:hAnsi="Candara" w:cs="Times"/>
          <w:b/>
          <w:color w:val="1A1A1A"/>
          <w:szCs w:val="32"/>
        </w:rPr>
        <w:t>score sheet for</w:t>
      </w:r>
      <w:r w:rsidR="00E12DD9">
        <w:rPr>
          <w:rFonts w:ascii="Candara" w:hAnsi="Candara" w:cs="Times"/>
          <w:b/>
          <w:color w:val="1A1A1A"/>
          <w:szCs w:val="32"/>
        </w:rPr>
        <w:t xml:space="preserve"> </w:t>
      </w:r>
      <w:r w:rsidR="00C605A4">
        <w:rPr>
          <w:rFonts w:ascii="Candara" w:hAnsi="Candara" w:cs="Times"/>
          <w:b/>
          <w:color w:val="1A1A1A"/>
          <w:szCs w:val="32"/>
        </w:rPr>
        <w:t>MINOR</w:t>
      </w:r>
      <w:r w:rsidR="00E12DD9">
        <w:rPr>
          <w:rFonts w:ascii="Candara" w:hAnsi="Candara" w:cs="Times"/>
          <w:b/>
          <w:color w:val="1A1A1A"/>
          <w:szCs w:val="32"/>
        </w:rPr>
        <w:t xml:space="preserve"> topic area</w:t>
      </w:r>
      <w:r w:rsidR="00C605A4">
        <w:rPr>
          <w:rFonts w:ascii="Candara" w:hAnsi="Candara" w:cs="Times"/>
          <w:b/>
          <w:color w:val="1A1A1A"/>
          <w:szCs w:val="32"/>
        </w:rPr>
        <w:t xml:space="preserve"> </w:t>
      </w:r>
    </w:p>
    <w:p w14:paraId="3E94F333" w14:textId="667D8EA4" w:rsidR="0005241B" w:rsidRDefault="0005241B" w:rsidP="008D2B3E">
      <w:pPr>
        <w:rPr>
          <w:rFonts w:ascii="Candara" w:hAnsi="Candara" w:cs="Times"/>
          <w:b/>
          <w:color w:val="1A1A1A"/>
          <w:szCs w:val="32"/>
        </w:rPr>
      </w:pPr>
    </w:p>
    <w:p w14:paraId="3D9BA035" w14:textId="77777777" w:rsidR="00D0255A" w:rsidRPr="00D0255A" w:rsidRDefault="0050495E" w:rsidP="00D0255A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4"/>
          <w:szCs w:val="24"/>
          <w:lang w:val="en-US"/>
        </w:rPr>
      </w:pPr>
      <w:r w:rsidRPr="00D0255A">
        <w:rPr>
          <w:rFonts w:ascii="Candara" w:hAnsi="Candara" w:cs="Times"/>
          <w:b/>
          <w:color w:val="1A1A1A"/>
          <w:sz w:val="24"/>
          <w:szCs w:val="24"/>
        </w:rPr>
        <w:t>Assessment scoring</w:t>
      </w:r>
      <w:r w:rsidR="00D0255A" w:rsidRPr="00D0255A">
        <w:rPr>
          <w:rFonts w:ascii="Candara" w:hAnsi="Candara" w:cs="Times"/>
          <w:b/>
          <w:color w:val="1A1A1A"/>
          <w:sz w:val="24"/>
          <w:szCs w:val="24"/>
        </w:rPr>
        <w:t xml:space="preserve"> </w:t>
      </w:r>
      <w:r w:rsidR="00D0255A" w:rsidRPr="00D0255A">
        <w:rPr>
          <w:rFonts w:ascii="Candara" w:eastAsiaTheme="minorHAnsi" w:hAnsi="Candara" w:cs="Times"/>
          <w:b/>
          <w:color w:val="1A1A1A"/>
          <w:sz w:val="24"/>
          <w:szCs w:val="24"/>
          <w:lang w:val="en-US"/>
        </w:rPr>
        <w:t>as laid out in OCAV Learning Expectations</w:t>
      </w:r>
      <w:r w:rsidR="00D0255A" w:rsidRPr="00D0255A">
        <w:rPr>
          <w:rFonts w:ascii="Candara" w:eastAsiaTheme="minorHAnsi" w:hAnsi="Candara" w:cs="Times"/>
          <w:color w:val="1A1A1A"/>
          <w:sz w:val="24"/>
          <w:szCs w:val="24"/>
          <w:lang w:val="en-US"/>
        </w:rPr>
        <w:t xml:space="preserve"> (</w:t>
      </w:r>
      <w:hyperlink r:id="rId7" w:history="1">
        <w:r w:rsidR="00D0255A" w:rsidRPr="00D0255A">
          <w:rPr>
            <w:rStyle w:val="Hyperlink"/>
            <w:rFonts w:ascii="Candara" w:eastAsiaTheme="minorHAnsi" w:hAnsi="Candara" w:cs="Times"/>
            <w:sz w:val="24"/>
            <w:szCs w:val="24"/>
            <w:lang w:val="en-US"/>
          </w:rPr>
          <w:t>http://oucqa.ca/framework/appendix-1/</w:t>
        </w:r>
      </w:hyperlink>
      <w:r w:rsidR="00D0255A" w:rsidRPr="00D0255A">
        <w:rPr>
          <w:rFonts w:ascii="Candara" w:eastAsiaTheme="minorHAnsi" w:hAnsi="Candara" w:cs="Times"/>
          <w:color w:val="1A1A1A"/>
          <w:sz w:val="24"/>
          <w:szCs w:val="24"/>
          <w:lang w:val="en-US"/>
        </w:rPr>
        <w:t>)</w:t>
      </w:r>
    </w:p>
    <w:p w14:paraId="4A2262D3" w14:textId="04B20CA4" w:rsidR="00D0255A" w:rsidRDefault="00D0255A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b/>
          <w:color w:val="1A1A1A"/>
          <w:szCs w:val="32"/>
        </w:rPr>
      </w:pPr>
    </w:p>
    <w:p w14:paraId="1F8349E1" w14:textId="542F2140" w:rsidR="00D0255A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(0) </w:t>
      </w:r>
      <w:r w:rsidR="0050495E">
        <w:rPr>
          <w:rFonts w:ascii="Candara" w:hAnsi="Candara" w:cs="Times"/>
          <w:b/>
          <w:color w:val="1A1A1A"/>
          <w:szCs w:val="32"/>
        </w:rPr>
        <w:t>Unacceptable</w:t>
      </w:r>
      <w:r w:rsidR="0050495E" w:rsidRPr="00EC059E">
        <w:rPr>
          <w:rFonts w:ascii="Candara" w:hAnsi="Candara" w:cs="Times"/>
          <w:color w:val="1A1A1A"/>
          <w:szCs w:val="32"/>
        </w:rPr>
        <w:t xml:space="preserve"> </w:t>
      </w:r>
    </w:p>
    <w:p w14:paraId="15EB3069" w14:textId="3F5D75B3" w:rsidR="00D0255A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(1) </w:t>
      </w:r>
      <w:r w:rsidR="0050495E">
        <w:rPr>
          <w:rFonts w:ascii="Candara" w:hAnsi="Candara" w:cs="Times"/>
          <w:b/>
          <w:color w:val="1A1A1A"/>
          <w:szCs w:val="32"/>
        </w:rPr>
        <w:t>Acceptable</w:t>
      </w:r>
      <w:r w:rsidR="0050495E" w:rsidRPr="00EC059E">
        <w:rPr>
          <w:rFonts w:ascii="Candara" w:hAnsi="Candara" w:cs="Times"/>
          <w:color w:val="1A1A1A"/>
          <w:szCs w:val="32"/>
        </w:rPr>
        <w:t xml:space="preserve">- as expected </w:t>
      </w:r>
      <w:r w:rsidR="0050495E">
        <w:rPr>
          <w:rFonts w:ascii="Candara" w:hAnsi="Candara" w:cs="Times"/>
          <w:color w:val="1A1A1A"/>
          <w:szCs w:val="32"/>
        </w:rPr>
        <w:t xml:space="preserve">for a </w:t>
      </w:r>
      <w:r w:rsidR="0050495E" w:rsidRPr="004D1236">
        <w:rPr>
          <w:rFonts w:ascii="Candara" w:hAnsi="Candara" w:cs="Times"/>
          <w:color w:val="1A1A1A"/>
          <w:szCs w:val="32"/>
        </w:rPr>
        <w:t>4</w:t>
      </w:r>
      <w:r w:rsidR="0050495E" w:rsidRPr="004D1236">
        <w:rPr>
          <w:rFonts w:ascii="Candara" w:hAnsi="Candara" w:cs="Times"/>
          <w:color w:val="1A1A1A"/>
          <w:szCs w:val="32"/>
          <w:vertAlign w:val="superscript"/>
        </w:rPr>
        <w:t>th</w:t>
      </w:r>
      <w:r w:rsidR="0050495E" w:rsidRPr="004D1236">
        <w:rPr>
          <w:rFonts w:ascii="Candara" w:hAnsi="Candara" w:cs="Times"/>
          <w:color w:val="1A1A1A"/>
          <w:szCs w:val="32"/>
        </w:rPr>
        <w:t xml:space="preserve"> year undergraduate</w:t>
      </w:r>
      <w:r w:rsidR="0050495E">
        <w:rPr>
          <w:rFonts w:ascii="Candara" w:hAnsi="Candara" w:cs="Times"/>
          <w:b/>
          <w:color w:val="1A1A1A"/>
          <w:szCs w:val="32"/>
        </w:rPr>
        <w:t xml:space="preserve"> </w:t>
      </w:r>
    </w:p>
    <w:p w14:paraId="098F39B0" w14:textId="47889485" w:rsidR="00D0255A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(2) </w:t>
      </w:r>
      <w:r w:rsidR="0050495E">
        <w:rPr>
          <w:rFonts w:ascii="Candara" w:hAnsi="Candara" w:cs="Times"/>
          <w:b/>
          <w:color w:val="1A1A1A"/>
          <w:szCs w:val="32"/>
        </w:rPr>
        <w:t>Good</w:t>
      </w:r>
      <w:r w:rsidR="0050495E" w:rsidRPr="00EC059E">
        <w:rPr>
          <w:rFonts w:ascii="Candara" w:hAnsi="Candara" w:cs="Times"/>
          <w:color w:val="1A1A1A"/>
          <w:szCs w:val="32"/>
        </w:rPr>
        <w:t xml:space="preserve">- </w:t>
      </w:r>
      <w:r w:rsidR="0050495E">
        <w:rPr>
          <w:rFonts w:ascii="Candara" w:hAnsi="Candara" w:cs="Times"/>
          <w:color w:val="1A1A1A"/>
          <w:szCs w:val="32"/>
        </w:rPr>
        <w:t>at the level of a MSc</w:t>
      </w:r>
      <w:r w:rsidR="0050495E" w:rsidRPr="00EC059E">
        <w:rPr>
          <w:rFonts w:ascii="Candara" w:hAnsi="Candara" w:cs="Times"/>
          <w:color w:val="1A1A1A"/>
          <w:szCs w:val="32"/>
        </w:rPr>
        <w:t xml:space="preserve"> </w:t>
      </w:r>
      <w:r w:rsidR="0050495E">
        <w:rPr>
          <w:rFonts w:ascii="Candara" w:hAnsi="Candara" w:cs="Times"/>
          <w:color w:val="1A1A1A"/>
          <w:szCs w:val="32"/>
        </w:rPr>
        <w:t>student</w:t>
      </w:r>
      <w:r w:rsidR="0050495E" w:rsidRPr="00EC059E">
        <w:rPr>
          <w:rFonts w:ascii="Candara" w:hAnsi="Candara" w:cs="Times"/>
          <w:color w:val="1A1A1A"/>
          <w:szCs w:val="32"/>
        </w:rPr>
        <w:t xml:space="preserve"> </w:t>
      </w:r>
    </w:p>
    <w:p w14:paraId="5922A5E8" w14:textId="3347AE39" w:rsidR="0050495E" w:rsidRPr="00EC059E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(3) </w:t>
      </w:r>
      <w:r w:rsidR="0050495E" w:rsidRPr="00EC059E">
        <w:rPr>
          <w:rFonts w:ascii="Candara" w:hAnsi="Candara" w:cs="Times"/>
          <w:b/>
          <w:color w:val="1A1A1A"/>
          <w:szCs w:val="32"/>
        </w:rPr>
        <w:t>Outstanding</w:t>
      </w:r>
      <w:r w:rsidR="0050495E" w:rsidRPr="00EC059E">
        <w:rPr>
          <w:rFonts w:ascii="Candara" w:hAnsi="Candara" w:cs="Times"/>
          <w:color w:val="1A1A1A"/>
          <w:szCs w:val="32"/>
        </w:rPr>
        <w:t xml:space="preserve">- already reaching the standards expected by the end of a PhD </w:t>
      </w:r>
    </w:p>
    <w:p w14:paraId="43CB9A2F" w14:textId="54864285" w:rsidR="0050495E" w:rsidRPr="00D0255A" w:rsidRDefault="0050495E" w:rsidP="00D0255A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4"/>
          <w:szCs w:val="24"/>
          <w:lang w:val="en-US"/>
        </w:rPr>
      </w:pPr>
    </w:p>
    <w:p w14:paraId="55751137" w14:textId="76442F16" w:rsidR="00D31774" w:rsidRPr="00D0255A" w:rsidRDefault="00D0255A" w:rsidP="008D2B3E">
      <w:pPr>
        <w:rPr>
          <w:rFonts w:ascii="Candara" w:hAnsi="Candara" w:cs="Times"/>
          <w:b/>
          <w:color w:val="000000" w:themeColor="text1"/>
        </w:rPr>
      </w:pPr>
      <w:r w:rsidRPr="00D0255A">
        <w:rPr>
          <w:rFonts w:ascii="Candara" w:hAnsi="Candara" w:cs="Times"/>
          <w:b/>
          <w:color w:val="000000" w:themeColor="text1"/>
        </w:rPr>
        <w:t>Note:</w:t>
      </w:r>
      <w:r>
        <w:rPr>
          <w:rFonts w:ascii="Candara" w:hAnsi="Candara" w:cs="Times"/>
          <w:color w:val="000000" w:themeColor="text1"/>
        </w:rPr>
        <w:t xml:space="preserve"> </w:t>
      </w:r>
      <w:r w:rsidRPr="00D0255A">
        <w:rPr>
          <w:rFonts w:ascii="Candara" w:hAnsi="Candara" w:cs="Times"/>
          <w:color w:val="000000" w:themeColor="text1"/>
        </w:rPr>
        <w:t>If a score of &lt;1 is attained for any one of the following assessment</w:t>
      </w:r>
      <w:r>
        <w:rPr>
          <w:rFonts w:ascii="Candara" w:hAnsi="Candara" w:cs="Times"/>
          <w:color w:val="000000" w:themeColor="text1"/>
        </w:rPr>
        <w:t xml:space="preserve"> areas,</w:t>
      </w:r>
      <w:r w:rsidRPr="00D0255A">
        <w:rPr>
          <w:rFonts w:ascii="Candara" w:hAnsi="Candara" w:cs="Times"/>
          <w:color w:val="000000" w:themeColor="text1"/>
        </w:rPr>
        <w:t xml:space="preserve"> then </w:t>
      </w:r>
      <w:r>
        <w:rPr>
          <w:rFonts w:ascii="Candara" w:hAnsi="Candara" w:cs="Times"/>
          <w:color w:val="000000" w:themeColor="text1"/>
        </w:rPr>
        <w:t>student is allowed</w:t>
      </w:r>
      <w:r w:rsidRPr="00D0255A">
        <w:rPr>
          <w:rFonts w:ascii="Candara" w:hAnsi="Candara" w:cs="Times"/>
          <w:color w:val="000000" w:themeColor="text1"/>
        </w:rPr>
        <w:t xml:space="preserve"> a</w:t>
      </w:r>
      <w:r w:rsidR="00D31774" w:rsidRPr="00D0255A">
        <w:rPr>
          <w:rFonts w:ascii="Candara" w:hAnsi="Candara" w:cs="Times"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b/>
          <w:color w:val="000000" w:themeColor="text1"/>
        </w:rPr>
        <w:t>second attempt</w:t>
      </w:r>
      <w:r w:rsidR="00D31774" w:rsidRPr="00D0255A">
        <w:rPr>
          <w:rFonts w:ascii="Candara" w:hAnsi="Candara" w:cs="Times"/>
          <w:color w:val="000000" w:themeColor="text1"/>
        </w:rPr>
        <w:t xml:space="preserve"> (for written portion, this may require delaying the oral portion),</w:t>
      </w:r>
      <w:r w:rsidR="00D31774" w:rsidRPr="00D0255A">
        <w:rPr>
          <w:rFonts w:ascii="Candara" w:hAnsi="Candara" w:cs="Times"/>
          <w:b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color w:val="000000" w:themeColor="text1"/>
        </w:rPr>
        <w:t>or</w:t>
      </w:r>
      <w:r w:rsidR="00D31774" w:rsidRPr="00D0255A">
        <w:rPr>
          <w:rFonts w:ascii="Candara" w:hAnsi="Candara" w:cs="Times"/>
          <w:b/>
          <w:color w:val="000000" w:themeColor="text1"/>
        </w:rPr>
        <w:t xml:space="preserve"> fail</w:t>
      </w:r>
      <w:r>
        <w:rPr>
          <w:rFonts w:ascii="Candara" w:hAnsi="Candara" w:cs="Times"/>
          <w:b/>
          <w:color w:val="000000" w:themeColor="text1"/>
        </w:rPr>
        <w:t xml:space="preserve">s </w:t>
      </w:r>
      <w:r w:rsidRPr="00D0255A">
        <w:rPr>
          <w:rFonts w:ascii="Candara" w:hAnsi="Candara" w:cs="Times"/>
          <w:color w:val="000000" w:themeColor="text1"/>
        </w:rPr>
        <w:t>the QE</w:t>
      </w:r>
      <w:r w:rsidR="00D31774" w:rsidRPr="00D0255A">
        <w:rPr>
          <w:rFonts w:ascii="Candara" w:hAnsi="Candara" w:cs="Times"/>
          <w:b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color w:val="000000" w:themeColor="text1"/>
        </w:rPr>
        <w:t>(</w:t>
      </w:r>
      <w:r w:rsidR="000F0A82">
        <w:rPr>
          <w:rFonts w:ascii="Candara" w:hAnsi="Candara" w:cs="Times"/>
          <w:color w:val="000000" w:themeColor="text1"/>
        </w:rPr>
        <w:t>pertaining</w:t>
      </w:r>
      <w:r>
        <w:rPr>
          <w:rFonts w:ascii="Candara" w:hAnsi="Candara" w:cs="Times"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color w:val="000000" w:themeColor="text1"/>
        </w:rPr>
        <w:t>second attempt at written</w:t>
      </w:r>
      <w:r w:rsidR="000F0A82">
        <w:rPr>
          <w:rFonts w:ascii="Candara" w:hAnsi="Candara" w:cs="Times"/>
          <w:color w:val="000000" w:themeColor="text1"/>
        </w:rPr>
        <w:t xml:space="preserve"> and/</w:t>
      </w:r>
      <w:r w:rsidR="00D31774" w:rsidRPr="00D0255A">
        <w:rPr>
          <w:rFonts w:ascii="Candara" w:hAnsi="Candara" w:cs="Times"/>
          <w:color w:val="000000" w:themeColor="text1"/>
        </w:rPr>
        <w:t>or oral portion).</w:t>
      </w:r>
    </w:p>
    <w:p w14:paraId="51D2134B" w14:textId="033AF77F" w:rsidR="008C0D0C" w:rsidRPr="004D1236" w:rsidRDefault="004D1236" w:rsidP="004D1236">
      <w:pPr>
        <w:rPr>
          <w:rFonts w:ascii="Candara" w:hAnsi="Candara" w:cs="Times"/>
          <w:b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6055"/>
      </w:tblGrid>
      <w:tr w:rsidR="00D0255A" w14:paraId="267A1632" w14:textId="28730F1A" w:rsidTr="00D0255A">
        <w:tc>
          <w:tcPr>
            <w:tcW w:w="7230" w:type="dxa"/>
          </w:tcPr>
          <w:p w14:paraId="64DF879E" w14:textId="79A69E9D" w:rsidR="0050495E" w:rsidRPr="001825F7" w:rsidRDefault="00D0255A" w:rsidP="006D77FD">
            <w:pPr>
              <w:spacing w:after="120"/>
              <w:rPr>
                <w:rFonts w:ascii="Candara" w:hAnsi="Candara" w:cs="Times"/>
                <w:b/>
                <w:color w:val="1A1A1A"/>
                <w:szCs w:val="32"/>
              </w:rPr>
            </w:pPr>
            <w:r w:rsidRPr="00D0255A">
              <w:rPr>
                <w:rFonts w:ascii="Candara" w:hAnsi="Candara" w:cs="Times"/>
                <w:b/>
                <w:color w:val="1A1A1A"/>
                <w:szCs w:val="32"/>
              </w:rPr>
              <w:lastRenderedPageBreak/>
              <w:t xml:space="preserve">MINOR topic </w:t>
            </w:r>
            <w:r>
              <w:rPr>
                <w:rFonts w:ascii="Candara" w:hAnsi="Candara" w:cs="Times"/>
                <w:b/>
                <w:color w:val="1A1A1A"/>
                <w:szCs w:val="32"/>
              </w:rPr>
              <w:t>area a</w:t>
            </w:r>
            <w:r w:rsidR="0050495E">
              <w:rPr>
                <w:rFonts w:ascii="Candara" w:hAnsi="Candara" w:cs="Times"/>
                <w:b/>
                <w:color w:val="1A1A1A"/>
                <w:szCs w:val="32"/>
              </w:rPr>
              <w:t>ssessment</w:t>
            </w:r>
          </w:p>
        </w:tc>
        <w:tc>
          <w:tcPr>
            <w:tcW w:w="850" w:type="dxa"/>
          </w:tcPr>
          <w:p w14:paraId="6E62B6F3" w14:textId="38AA7503" w:rsidR="0050495E" w:rsidRPr="001825F7" w:rsidRDefault="0050495E" w:rsidP="006D77FD">
            <w:pPr>
              <w:spacing w:after="120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Score</w:t>
            </w:r>
          </w:p>
        </w:tc>
        <w:tc>
          <w:tcPr>
            <w:tcW w:w="6055" w:type="dxa"/>
          </w:tcPr>
          <w:p w14:paraId="5C118076" w14:textId="0A670AEB" w:rsidR="0050495E" w:rsidRPr="001825F7" w:rsidRDefault="0050495E" w:rsidP="006D77FD">
            <w:pPr>
              <w:spacing w:after="120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Examiner’s comments</w:t>
            </w:r>
          </w:p>
        </w:tc>
      </w:tr>
      <w:tr w:rsidR="00D0255A" w14:paraId="63C16C9E" w14:textId="4CEEE5DF" w:rsidTr="00D0255A">
        <w:tc>
          <w:tcPr>
            <w:tcW w:w="7230" w:type="dxa"/>
          </w:tcPr>
          <w:p w14:paraId="63D95177" w14:textId="7B66F1C5" w:rsidR="005D69A6" w:rsidRDefault="006A59BD" w:rsidP="00A72594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Times"/>
                <w:color w:val="000000" w:themeColor="text1"/>
                <w:sz w:val="20"/>
                <w:szCs w:val="20"/>
              </w:rPr>
              <w:t>-</w:t>
            </w:r>
            <w:r w:rsidR="00E3176F">
              <w:rPr>
                <w:rFonts w:ascii="Candara" w:hAnsi="Candara" w:cs="Times"/>
                <w:color w:val="000000" w:themeColor="text1"/>
                <w:sz w:val="20"/>
                <w:szCs w:val="20"/>
              </w:rPr>
              <w:t>Student’s d</w:t>
            </w:r>
            <w:r w:rsidR="00D31774">
              <w:rPr>
                <w:rFonts w:ascii="Candara" w:hAnsi="Candara" w:cs="Times"/>
                <w:color w:val="000000" w:themeColor="text1"/>
                <w:sz w:val="20"/>
                <w:szCs w:val="20"/>
              </w:rPr>
              <w:t>epth of k</w:t>
            </w:r>
            <w:r w:rsidR="00D31774" w:rsidRPr="0073245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nowledge </w:t>
            </w:r>
            <w:r w:rsidR="00A72594" w:rsidRPr="0073245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and </w:t>
            </w:r>
            <w:r w:rsidR="00A72594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critical </w:t>
            </w:r>
            <w:r w:rsidR="00A72594" w:rsidRPr="0073245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understanding of </w:t>
            </w:r>
            <w:r w:rsidR="00A72594">
              <w:rPr>
                <w:rFonts w:ascii="Candara" w:hAnsi="Candara" w:cs="Times"/>
                <w:color w:val="000000" w:themeColor="text1"/>
                <w:sz w:val="20"/>
                <w:szCs w:val="20"/>
              </w:rPr>
              <w:t>the</w:t>
            </w:r>
            <w:r w:rsidR="00A72594" w:rsidRPr="0073245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key concepts, methodologies, theoretical approaches and assumptions in a discipline</w:t>
            </w:r>
            <w:r w:rsidR="00DA2BAD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and area of specialization</w:t>
            </w:r>
          </w:p>
          <w:p w14:paraId="37560129" w14:textId="77777777" w:rsidR="00656CA8" w:rsidRPr="00732456" w:rsidRDefault="00656CA8" w:rsidP="00A72594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</w:p>
          <w:p w14:paraId="5A34AF26" w14:textId="6030962D" w:rsidR="0050495E" w:rsidRPr="006D77FD" w:rsidRDefault="0050495E" w:rsidP="008C0D0C">
            <w:pPr>
              <w:rPr>
                <w:rFonts w:ascii="Candara" w:hAnsi="Candara" w:cs="Times"/>
                <w:b/>
                <w:color w:val="1A1A1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6AE451" w14:textId="77777777" w:rsidR="0050495E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7B1191BD" w14:textId="2AE86D81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6C110388" w14:textId="52FC9318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5D5AD730" w14:textId="77777777" w:rsidTr="00D0255A">
        <w:tc>
          <w:tcPr>
            <w:tcW w:w="7230" w:type="dxa"/>
          </w:tcPr>
          <w:p w14:paraId="7BBD3C7E" w14:textId="79775FA0" w:rsidR="00A72594" w:rsidRDefault="00DA2BAD" w:rsidP="00A72594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Times"/>
                <w:color w:val="000000" w:themeColor="text1"/>
                <w:sz w:val="20"/>
                <w:szCs w:val="20"/>
              </w:rPr>
              <w:t>-</w:t>
            </w:r>
            <w:r w:rsidR="00E3176F">
              <w:rPr>
                <w:rFonts w:ascii="Candara" w:hAnsi="Candara" w:cs="Times"/>
                <w:color w:val="000000" w:themeColor="text1"/>
                <w:sz w:val="20"/>
                <w:szCs w:val="20"/>
              </w:rPr>
              <w:t>Student’s b</w:t>
            </w:r>
            <w:r w:rsidR="00D31774">
              <w:rPr>
                <w:rFonts w:ascii="Candara" w:hAnsi="Candara" w:cs="Times"/>
                <w:color w:val="000000" w:themeColor="text1"/>
                <w:sz w:val="20"/>
                <w:szCs w:val="20"/>
              </w:rPr>
              <w:t>readth of u</w:t>
            </w:r>
            <w:r w:rsidR="00D31774" w:rsidRPr="006A59BD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nderstanding </w:t>
            </w:r>
            <w:r w:rsidR="006A59BD" w:rsidRPr="006A59BD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of the major fields in a discipline, including, where appropriate, from an interdisciplinary perspective, and how the fields may </w:t>
            </w:r>
            <w:r w:rsidR="00E3176F">
              <w:rPr>
                <w:rFonts w:ascii="Candara" w:hAnsi="Candara" w:cs="Times"/>
                <w:color w:val="000000" w:themeColor="text1"/>
                <w:sz w:val="20"/>
                <w:szCs w:val="20"/>
              </w:rPr>
              <w:t>overlap</w:t>
            </w:r>
            <w:r w:rsidR="006A59BD" w:rsidRPr="006A59BD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with fields in related discipline</w:t>
            </w:r>
            <w:r w:rsidR="00255E9D">
              <w:rPr>
                <w:rFonts w:ascii="Candara" w:hAnsi="Candara" w:cs="Times"/>
                <w:color w:val="000000" w:themeColor="text1"/>
                <w:sz w:val="20"/>
                <w:szCs w:val="20"/>
              </w:rPr>
              <w:t>s</w:t>
            </w:r>
          </w:p>
          <w:p w14:paraId="739C863E" w14:textId="77777777" w:rsidR="00656CA8" w:rsidRDefault="00656CA8" w:rsidP="00A72594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</w:p>
          <w:p w14:paraId="4C87E313" w14:textId="77777777" w:rsidR="005D69A6" w:rsidRDefault="005D69A6" w:rsidP="00A72594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</w:p>
          <w:p w14:paraId="446B3E63" w14:textId="77777777" w:rsidR="0050495E" w:rsidRPr="006D77FD" w:rsidDel="0050495E" w:rsidRDefault="0050495E" w:rsidP="008C0D0C">
            <w:pPr>
              <w:rPr>
                <w:rFonts w:ascii="Candara" w:hAnsi="Candara" w:cs="Times"/>
                <w:b/>
                <w:color w:val="1A1A1A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452864" w14:textId="77777777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352B68A8" w14:textId="588E5AA7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2BEE1D1B" w14:textId="77777777" w:rsidTr="00D0255A">
        <w:tc>
          <w:tcPr>
            <w:tcW w:w="7230" w:type="dxa"/>
          </w:tcPr>
          <w:p w14:paraId="5703132C" w14:textId="5814BF31" w:rsidR="005D69A6" w:rsidRDefault="00D31774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>
              <w:rPr>
                <w:rFonts w:ascii="Candara" w:hAnsi="Candara" w:cs="Times"/>
                <w:color w:val="1A1A1A"/>
                <w:sz w:val="20"/>
                <w:szCs w:val="20"/>
              </w:rPr>
              <w:t>-</w:t>
            </w:r>
            <w:r w:rsidR="00E3176F">
              <w:rPr>
                <w:rFonts w:ascii="Candara" w:hAnsi="Candara" w:cs="Times"/>
                <w:color w:val="1A1A1A"/>
                <w:sz w:val="20"/>
                <w:szCs w:val="20"/>
              </w:rPr>
              <w:t>Student’s a</w:t>
            </w:r>
            <w:r w:rsidR="006A59BD" w:rsidRPr="00D31774">
              <w:rPr>
                <w:rFonts w:ascii="Candara" w:hAnsi="Candara" w:cs="Times"/>
                <w:color w:val="1A1A1A"/>
                <w:sz w:val="20"/>
                <w:szCs w:val="20"/>
              </w:rPr>
              <w:t>bility to</w:t>
            </w:r>
            <w:r w:rsidR="00DA2BAD" w:rsidRPr="00D31774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  <w:r w:rsidR="006A59BD" w:rsidRPr="00D31774">
              <w:rPr>
                <w:rFonts w:ascii="Candara" w:hAnsi="Candara" w:cs="Times"/>
                <w:color w:val="1A1A1A"/>
                <w:sz w:val="20"/>
                <w:szCs w:val="20"/>
              </w:rPr>
              <w:t xml:space="preserve">gather, review, interpret </w:t>
            </w:r>
            <w:r w:rsidR="00416FCD">
              <w:rPr>
                <w:rFonts w:ascii="Candara" w:hAnsi="Candara" w:cs="Times"/>
                <w:color w:val="1A1A1A"/>
                <w:sz w:val="20"/>
                <w:szCs w:val="20"/>
              </w:rPr>
              <w:t xml:space="preserve">and critically </w:t>
            </w:r>
            <w:r w:rsidR="00416FCD" w:rsidRPr="00D31774">
              <w:rPr>
                <w:rFonts w:ascii="Candara" w:hAnsi="Candara" w:cs="Times"/>
                <w:color w:val="1A1A1A"/>
                <w:sz w:val="20"/>
                <w:szCs w:val="20"/>
              </w:rPr>
              <w:t xml:space="preserve">evaluate </w:t>
            </w:r>
            <w:r w:rsidR="006A59BD" w:rsidRPr="00D31774">
              <w:rPr>
                <w:rFonts w:ascii="Candara" w:hAnsi="Candara" w:cs="Times"/>
                <w:color w:val="1A1A1A"/>
                <w:sz w:val="20"/>
                <w:szCs w:val="20"/>
              </w:rPr>
              <w:t>information</w:t>
            </w:r>
            <w:r w:rsidR="00DA2BAD" w:rsidRPr="00D31774">
              <w:rPr>
                <w:rFonts w:ascii="Candara" w:hAnsi="Candara" w:cs="Times"/>
                <w:color w:val="1A1A1A"/>
                <w:sz w:val="20"/>
                <w:szCs w:val="20"/>
              </w:rPr>
              <w:t>,</w:t>
            </w:r>
            <w:r w:rsidR="006A59BD" w:rsidRPr="00D31774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and</w:t>
            </w:r>
            <w:r w:rsidR="00DA2BAD" w:rsidRPr="00D31774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  <w:r w:rsidR="001F6F24">
              <w:rPr>
                <w:rFonts w:ascii="Candara" w:hAnsi="Candara" w:cs="Times"/>
                <w:color w:val="1A1A1A"/>
                <w:sz w:val="20"/>
                <w:szCs w:val="20"/>
              </w:rPr>
              <w:t>apply knowledge gained to generate hypotheses</w:t>
            </w:r>
            <w:r w:rsidR="00416FCD">
              <w:rPr>
                <w:rFonts w:ascii="Candara" w:hAnsi="Candara" w:cs="Times"/>
                <w:color w:val="1A1A1A"/>
                <w:sz w:val="20"/>
                <w:szCs w:val="20"/>
              </w:rPr>
              <w:t>,</w:t>
            </w:r>
            <w:r w:rsidR="001F6F24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  <w:r w:rsidR="006A59BD" w:rsidRPr="00D31774">
              <w:rPr>
                <w:rFonts w:ascii="Candara" w:hAnsi="Candara" w:cs="Times"/>
                <w:color w:val="1A1A1A"/>
                <w:sz w:val="20"/>
                <w:szCs w:val="20"/>
              </w:rPr>
              <w:t>compare the merits of alternate hypotheses</w:t>
            </w:r>
            <w:r w:rsidR="00416FCD">
              <w:rPr>
                <w:rFonts w:ascii="Candara" w:hAnsi="Candara" w:cs="Times"/>
                <w:color w:val="1A1A1A"/>
                <w:sz w:val="20"/>
                <w:szCs w:val="20"/>
              </w:rPr>
              <w:t xml:space="preserve">, </w:t>
            </w:r>
            <w:r w:rsidR="00416FCD" w:rsidRPr="00E3176F">
              <w:rPr>
                <w:rFonts w:ascii="Candara" w:hAnsi="Candara" w:cs="Times"/>
                <w:color w:val="1A1A1A"/>
                <w:sz w:val="20"/>
                <w:szCs w:val="20"/>
              </w:rPr>
              <w:t>develop lines of argument</w:t>
            </w:r>
            <w:r w:rsidR="00416FCD">
              <w:rPr>
                <w:rFonts w:ascii="Candara" w:hAnsi="Candara" w:cs="Times"/>
                <w:color w:val="1A1A1A"/>
                <w:sz w:val="20"/>
                <w:szCs w:val="20"/>
              </w:rPr>
              <w:t xml:space="preserve">, </w:t>
            </w:r>
            <w:r w:rsidR="00E16959">
              <w:rPr>
                <w:rFonts w:ascii="Candara" w:hAnsi="Candara" w:cs="Times"/>
                <w:color w:val="1A1A1A"/>
                <w:sz w:val="20"/>
                <w:szCs w:val="20"/>
              </w:rPr>
              <w:t xml:space="preserve">propose solutions, or </w:t>
            </w:r>
            <w:r w:rsidR="00416FCD" w:rsidRPr="00E3176F">
              <w:rPr>
                <w:rFonts w:ascii="Candara" w:hAnsi="Candara" w:cs="Times"/>
                <w:color w:val="1A1A1A"/>
                <w:sz w:val="20"/>
                <w:szCs w:val="20"/>
              </w:rPr>
              <w:t>make sound judgments in accordance with the major theories, concepts and methods of the</w:t>
            </w:r>
            <w:r w:rsidR="00E16959">
              <w:rPr>
                <w:rFonts w:ascii="Candara" w:hAnsi="Candara" w:cs="Times"/>
                <w:color w:val="1A1A1A"/>
                <w:sz w:val="20"/>
                <w:szCs w:val="20"/>
              </w:rPr>
              <w:t>ir</w:t>
            </w:r>
            <w:r w:rsidR="00416FCD" w:rsidRPr="00E3176F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  <w:r w:rsidR="00E16959">
              <w:rPr>
                <w:rFonts w:ascii="Candara" w:hAnsi="Candara" w:cs="Times"/>
                <w:color w:val="1A1A1A"/>
                <w:sz w:val="20"/>
                <w:szCs w:val="20"/>
              </w:rPr>
              <w:t>area</w:t>
            </w:r>
            <w:r w:rsidR="00416FCD" w:rsidRPr="00E3176F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of study</w:t>
            </w:r>
            <w:r w:rsidR="00416FCD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</w:p>
          <w:p w14:paraId="73D05937" w14:textId="745C7847" w:rsidR="0050495E" w:rsidRPr="00E16959" w:rsidDel="0050495E" w:rsidRDefault="00416FCD" w:rsidP="008C0D0C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FB7C42" w14:textId="77777777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3CDAAB65" w14:textId="77777777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234096F3" w14:textId="77777777" w:rsidTr="00D0255A">
        <w:tc>
          <w:tcPr>
            <w:tcW w:w="7230" w:type="dxa"/>
          </w:tcPr>
          <w:p w14:paraId="1BDDC70C" w14:textId="56D6E1F2" w:rsidR="000B143D" w:rsidRDefault="001F6F24" w:rsidP="001F6F24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>
              <w:rPr>
                <w:rFonts w:ascii="Candara" w:hAnsi="Candara" w:cs="Times"/>
                <w:color w:val="1A1A1A"/>
                <w:sz w:val="20"/>
                <w:szCs w:val="20"/>
              </w:rPr>
              <w:t>-</w:t>
            </w:r>
            <w:r w:rsidR="00E3176F">
              <w:rPr>
                <w:rFonts w:ascii="Candara" w:hAnsi="Candara" w:cs="Times"/>
                <w:color w:val="1A1A1A"/>
                <w:sz w:val="20"/>
                <w:szCs w:val="20"/>
              </w:rPr>
              <w:t>Student’s u</w:t>
            </w:r>
            <w:r w:rsidRPr="000B143D">
              <w:rPr>
                <w:rFonts w:ascii="Candara" w:hAnsi="Candara" w:cs="Times"/>
                <w:color w:val="1A1A1A"/>
                <w:sz w:val="20"/>
                <w:szCs w:val="20"/>
              </w:rPr>
              <w:t xml:space="preserve">nderstanding of methods of enquiry or creative activity, or both, in their primary area of study that enables </w:t>
            </w:r>
            <w:r w:rsidR="00E16959">
              <w:rPr>
                <w:rFonts w:ascii="Candara" w:hAnsi="Candara" w:cs="Times"/>
                <w:color w:val="1A1A1A"/>
                <w:sz w:val="20"/>
                <w:szCs w:val="20"/>
              </w:rPr>
              <w:t>them</w:t>
            </w:r>
            <w:r w:rsidRPr="000B143D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to</w:t>
            </w:r>
            <w:r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  <w:r w:rsidRPr="000B143D">
              <w:rPr>
                <w:rFonts w:ascii="Candara" w:hAnsi="Candara" w:cs="Times"/>
                <w:color w:val="1A1A1A"/>
                <w:sz w:val="20"/>
                <w:szCs w:val="20"/>
              </w:rPr>
              <w:t>evaluate the appropriateness of different approaches to solving problems</w:t>
            </w:r>
          </w:p>
          <w:p w14:paraId="0CA6F0A3" w14:textId="77777777" w:rsidR="00656CA8" w:rsidRDefault="00656CA8" w:rsidP="001F6F24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4AFE2B7A" w14:textId="59006C55" w:rsidR="005D69A6" w:rsidRPr="001F6F24" w:rsidDel="0050495E" w:rsidRDefault="005D69A6" w:rsidP="001F6F24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D6CEF3" w14:textId="77777777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32CDFBC6" w14:textId="77777777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1176B52B" w14:textId="77777777" w:rsidTr="00D0255A">
        <w:tc>
          <w:tcPr>
            <w:tcW w:w="7230" w:type="dxa"/>
          </w:tcPr>
          <w:p w14:paraId="21B933AE" w14:textId="0C74C4A8" w:rsidR="005D69A6" w:rsidRDefault="00E16959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 w:rsidRPr="00E16959">
              <w:rPr>
                <w:rFonts w:ascii="Candara" w:hAnsi="Candara" w:cs="Times"/>
                <w:color w:val="1A1A1A"/>
                <w:sz w:val="20"/>
                <w:szCs w:val="20"/>
              </w:rPr>
              <w:t>-Student’s understanding of the limits to their own knowledge and ability, and an appreciation of the uncertainty, ambiguity and limits to knowledge and how this might influence analyses and interpretations</w:t>
            </w:r>
          </w:p>
          <w:p w14:paraId="76A914E1" w14:textId="77777777" w:rsidR="00656CA8" w:rsidRDefault="00656CA8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4718E2B9" w14:textId="2A733B5D" w:rsidR="005D69A6" w:rsidRDefault="005D69A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BE9FA3" w14:textId="77777777" w:rsidR="00A72594" w:rsidRPr="00732456" w:rsidRDefault="00A72594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4BFF052F" w14:textId="77777777" w:rsidR="00A72594" w:rsidRPr="00732456" w:rsidRDefault="00A72594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4D1236" w14:paraId="027F7612" w14:textId="77777777" w:rsidTr="00D0255A">
        <w:tc>
          <w:tcPr>
            <w:tcW w:w="7230" w:type="dxa"/>
          </w:tcPr>
          <w:p w14:paraId="496EAB02" w14:textId="4F92F040" w:rsidR="004D1236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 w:rsidRPr="004D1236">
              <w:rPr>
                <w:rFonts w:ascii="Candara" w:hAnsi="Candara" w:cs="Times"/>
                <w:color w:val="1A1A1A"/>
                <w:sz w:val="20"/>
                <w:szCs w:val="20"/>
              </w:rPr>
              <w:t>-Student’s ability to communicate information, arguments or analyses accurately and reliably in written and/or oral format to a range of audiences</w:t>
            </w:r>
            <w:bookmarkStart w:id="0" w:name="_GoBack"/>
            <w:bookmarkEnd w:id="0"/>
          </w:p>
          <w:p w14:paraId="5317B279" w14:textId="77777777" w:rsidR="00656CA8" w:rsidRDefault="00656CA8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563D1FFD" w14:textId="77777777" w:rsidR="004D1236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666CF6EF" w14:textId="440686D0" w:rsidR="004D1236" w:rsidRPr="00E16959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A128D" w14:textId="77777777" w:rsidR="004D1236" w:rsidRPr="00732456" w:rsidRDefault="004D1236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1DB6A25C" w14:textId="77777777" w:rsidR="004D1236" w:rsidRPr="00732456" w:rsidRDefault="004D1236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4D1236" w14:paraId="5D4D319D" w14:textId="77777777" w:rsidTr="00D0255A">
        <w:tc>
          <w:tcPr>
            <w:tcW w:w="7230" w:type="dxa"/>
          </w:tcPr>
          <w:p w14:paraId="1848F992" w14:textId="50924115" w:rsidR="00656CA8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 w:rsidRPr="004D1236">
              <w:rPr>
                <w:rFonts w:ascii="Candara" w:hAnsi="Candara" w:cs="Times"/>
                <w:color w:val="1A1A1A"/>
                <w:sz w:val="20"/>
                <w:szCs w:val="20"/>
              </w:rPr>
              <w:t>- Student’s behaviour is consistent with academic integrity and social responsibility</w:t>
            </w:r>
          </w:p>
          <w:p w14:paraId="15D79D98" w14:textId="0BC59754" w:rsidR="00656CA8" w:rsidRDefault="00656CA8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364B3374" w14:textId="77777777" w:rsidR="00656CA8" w:rsidRDefault="00656CA8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38D54315" w14:textId="77777777" w:rsidR="004D1236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0949AC76" w14:textId="08356F0C" w:rsidR="004D1236" w:rsidRPr="00E16959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69CF81" w14:textId="77777777" w:rsidR="004D1236" w:rsidRPr="00732456" w:rsidRDefault="004D1236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055" w:type="dxa"/>
          </w:tcPr>
          <w:p w14:paraId="784A813E" w14:textId="77777777" w:rsidR="004D1236" w:rsidRPr="00732456" w:rsidRDefault="004D1236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</w:tbl>
    <w:p w14:paraId="7B6D7898" w14:textId="77777777" w:rsidR="001326EA" w:rsidRDefault="001326EA" w:rsidP="004D1236">
      <w:pPr>
        <w:spacing w:after="60"/>
        <w:rPr>
          <w:rFonts w:ascii="Candara" w:hAnsi="Candara" w:cs="Times"/>
          <w:b/>
          <w:i/>
          <w:color w:val="1A1A1A"/>
          <w:szCs w:val="32"/>
        </w:rPr>
      </w:pPr>
    </w:p>
    <w:sectPr w:rsidR="001326EA" w:rsidSect="001E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5067" w14:textId="77777777" w:rsidR="00607870" w:rsidRDefault="00607870" w:rsidP="008D2B3E">
      <w:r>
        <w:separator/>
      </w:r>
    </w:p>
  </w:endnote>
  <w:endnote w:type="continuationSeparator" w:id="0">
    <w:p w14:paraId="631DD4BC" w14:textId="77777777" w:rsidR="00607870" w:rsidRDefault="00607870" w:rsidP="008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4F12" w14:textId="77777777" w:rsidR="008D2B3E" w:rsidRDefault="008D2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432" w14:textId="77777777" w:rsidR="008D2B3E" w:rsidRDefault="008D2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8180" w14:textId="77777777" w:rsidR="008D2B3E" w:rsidRDefault="008D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78EC" w14:textId="77777777" w:rsidR="00607870" w:rsidRDefault="00607870" w:rsidP="008D2B3E">
      <w:r>
        <w:separator/>
      </w:r>
    </w:p>
  </w:footnote>
  <w:footnote w:type="continuationSeparator" w:id="0">
    <w:p w14:paraId="3E536B5F" w14:textId="77777777" w:rsidR="00607870" w:rsidRDefault="00607870" w:rsidP="008D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DC96" w14:textId="77777777" w:rsidR="008D2B3E" w:rsidRDefault="008D2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5760" w14:textId="6D83DAFF" w:rsidR="008D2B3E" w:rsidRPr="008D2B3E" w:rsidRDefault="008D2B3E">
    <w:pPr>
      <w:pStyle w:val="Header"/>
      <w:rPr>
        <w:rFonts w:ascii="Candara" w:hAnsi="Candara"/>
        <w:i/>
        <w:color w:val="808080" w:themeColor="background1" w:themeShade="80"/>
        <w:sz w:val="22"/>
      </w:rPr>
    </w:pPr>
    <w:r>
      <w:rPr>
        <w:rFonts w:ascii="Candara" w:hAnsi="Candara"/>
        <w:i/>
        <w:color w:val="808080" w:themeColor="background1" w:themeShade="80"/>
        <w:sz w:val="22"/>
      </w:rPr>
      <w:tab/>
    </w:r>
    <w:r>
      <w:rPr>
        <w:rFonts w:ascii="Candara" w:hAnsi="Candara"/>
        <w:i/>
        <w:color w:val="808080" w:themeColor="background1" w:themeShade="80"/>
        <w:sz w:val="22"/>
      </w:rPr>
      <w:tab/>
      <w:t xml:space="preserve">                     </w:t>
    </w:r>
    <w:r w:rsidRPr="008D2B3E">
      <w:rPr>
        <w:rFonts w:ascii="Candara" w:hAnsi="Candara"/>
        <w:i/>
        <w:color w:val="808080" w:themeColor="background1" w:themeShade="80"/>
        <w:sz w:val="22"/>
      </w:rPr>
      <w:t xml:space="preserve">To be read in conjunction with </w:t>
    </w:r>
    <w:proofErr w:type="spellStart"/>
    <w:r w:rsidRPr="008D2B3E">
      <w:rPr>
        <w:rFonts w:ascii="Candara" w:hAnsi="Candara"/>
        <w:i/>
        <w:color w:val="808080" w:themeColor="background1" w:themeShade="80"/>
        <w:sz w:val="22"/>
      </w:rPr>
      <w:t>ABSc</w:t>
    </w:r>
    <w:proofErr w:type="spellEnd"/>
    <w:r w:rsidRPr="008D2B3E">
      <w:rPr>
        <w:rFonts w:ascii="Candara" w:hAnsi="Candara"/>
        <w:i/>
        <w:color w:val="808080" w:themeColor="background1" w:themeShade="80"/>
        <w:sz w:val="22"/>
      </w:rPr>
      <w:t xml:space="preserve"> QE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847A" w14:textId="77777777" w:rsidR="008D2B3E" w:rsidRDefault="008D2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E8B"/>
    <w:multiLevelType w:val="hybridMultilevel"/>
    <w:tmpl w:val="4EE6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7F77"/>
    <w:multiLevelType w:val="hybridMultilevel"/>
    <w:tmpl w:val="4BC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EC0"/>
    <w:multiLevelType w:val="hybridMultilevel"/>
    <w:tmpl w:val="4CC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137E"/>
    <w:multiLevelType w:val="hybridMultilevel"/>
    <w:tmpl w:val="1D70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0B0"/>
    <w:multiLevelType w:val="hybridMultilevel"/>
    <w:tmpl w:val="F178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79EE"/>
    <w:multiLevelType w:val="hybridMultilevel"/>
    <w:tmpl w:val="555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7E30"/>
    <w:multiLevelType w:val="hybridMultilevel"/>
    <w:tmpl w:val="9DC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2004"/>
    <w:multiLevelType w:val="hybridMultilevel"/>
    <w:tmpl w:val="07B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0C"/>
    <w:rsid w:val="0000124E"/>
    <w:rsid w:val="0005241B"/>
    <w:rsid w:val="000B143D"/>
    <w:rsid w:val="000B41AB"/>
    <w:rsid w:val="000D2263"/>
    <w:rsid w:val="000F09FB"/>
    <w:rsid w:val="000F0A82"/>
    <w:rsid w:val="000F250F"/>
    <w:rsid w:val="001169C8"/>
    <w:rsid w:val="00120009"/>
    <w:rsid w:val="001326EA"/>
    <w:rsid w:val="001825F7"/>
    <w:rsid w:val="00194FCE"/>
    <w:rsid w:val="001A4A71"/>
    <w:rsid w:val="001C4D52"/>
    <w:rsid w:val="001D7C87"/>
    <w:rsid w:val="001E296C"/>
    <w:rsid w:val="001E61F1"/>
    <w:rsid w:val="001E6665"/>
    <w:rsid w:val="001F6F24"/>
    <w:rsid w:val="00207B6F"/>
    <w:rsid w:val="002246D8"/>
    <w:rsid w:val="00253BB7"/>
    <w:rsid w:val="00255E9D"/>
    <w:rsid w:val="002F60B4"/>
    <w:rsid w:val="00347036"/>
    <w:rsid w:val="003B74E8"/>
    <w:rsid w:val="00406B61"/>
    <w:rsid w:val="00411B9A"/>
    <w:rsid w:val="00413961"/>
    <w:rsid w:val="0041474B"/>
    <w:rsid w:val="00416FCD"/>
    <w:rsid w:val="004B3E82"/>
    <w:rsid w:val="004D1236"/>
    <w:rsid w:val="004F381C"/>
    <w:rsid w:val="0050495E"/>
    <w:rsid w:val="0052586B"/>
    <w:rsid w:val="0055364B"/>
    <w:rsid w:val="005670D4"/>
    <w:rsid w:val="0057286D"/>
    <w:rsid w:val="00596166"/>
    <w:rsid w:val="005C1AF6"/>
    <w:rsid w:val="005D0A7C"/>
    <w:rsid w:val="005D69A6"/>
    <w:rsid w:val="005F285B"/>
    <w:rsid w:val="00607870"/>
    <w:rsid w:val="006122B7"/>
    <w:rsid w:val="00650076"/>
    <w:rsid w:val="0065112B"/>
    <w:rsid w:val="00656CA8"/>
    <w:rsid w:val="006A59BD"/>
    <w:rsid w:val="006D77FD"/>
    <w:rsid w:val="006E4645"/>
    <w:rsid w:val="007000C2"/>
    <w:rsid w:val="00720D39"/>
    <w:rsid w:val="00725285"/>
    <w:rsid w:val="00732456"/>
    <w:rsid w:val="0076234F"/>
    <w:rsid w:val="007741F9"/>
    <w:rsid w:val="007A6D3D"/>
    <w:rsid w:val="007E07F6"/>
    <w:rsid w:val="00806800"/>
    <w:rsid w:val="008C0D0C"/>
    <w:rsid w:val="008D2B3E"/>
    <w:rsid w:val="009453BD"/>
    <w:rsid w:val="0097673A"/>
    <w:rsid w:val="00A211EA"/>
    <w:rsid w:val="00A557EA"/>
    <w:rsid w:val="00A72594"/>
    <w:rsid w:val="00A7477C"/>
    <w:rsid w:val="00B22493"/>
    <w:rsid w:val="00B23E89"/>
    <w:rsid w:val="00B43968"/>
    <w:rsid w:val="00B5288D"/>
    <w:rsid w:val="00B52AAA"/>
    <w:rsid w:val="00B5785E"/>
    <w:rsid w:val="00C00D0C"/>
    <w:rsid w:val="00C14FE9"/>
    <w:rsid w:val="00C245C0"/>
    <w:rsid w:val="00C4394D"/>
    <w:rsid w:val="00C605A4"/>
    <w:rsid w:val="00C66831"/>
    <w:rsid w:val="00CD3572"/>
    <w:rsid w:val="00CD4043"/>
    <w:rsid w:val="00CD7F70"/>
    <w:rsid w:val="00D0255A"/>
    <w:rsid w:val="00D03AD1"/>
    <w:rsid w:val="00D31774"/>
    <w:rsid w:val="00D63206"/>
    <w:rsid w:val="00D67BC8"/>
    <w:rsid w:val="00DA2BAD"/>
    <w:rsid w:val="00E12DD9"/>
    <w:rsid w:val="00E16959"/>
    <w:rsid w:val="00E3176F"/>
    <w:rsid w:val="00EB0E21"/>
    <w:rsid w:val="00EB407D"/>
    <w:rsid w:val="00EE4E40"/>
    <w:rsid w:val="00F00DD7"/>
    <w:rsid w:val="00F37FFC"/>
    <w:rsid w:val="00F8357D"/>
    <w:rsid w:val="00FB614A"/>
    <w:rsid w:val="00FF2401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407A"/>
  <w15:docId w15:val="{3E374090-E89C-2D47-A335-C8316AA7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D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7E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7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3E"/>
  </w:style>
  <w:style w:type="paragraph" w:styleId="Footer">
    <w:name w:val="footer"/>
    <w:basedOn w:val="Normal"/>
    <w:link w:val="FooterChar"/>
    <w:uiPriority w:val="99"/>
    <w:unhideWhenUsed/>
    <w:rsid w:val="008D2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3E"/>
  </w:style>
  <w:style w:type="character" w:styleId="CommentReference">
    <w:name w:val="annotation reference"/>
    <w:basedOn w:val="DefaultParagraphFont"/>
    <w:uiPriority w:val="99"/>
    <w:semiHidden/>
    <w:unhideWhenUsed/>
    <w:rsid w:val="000F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4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ucqa.ca/framework/appendix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Mason</dc:creator>
  <cp:keywords/>
  <dc:description/>
  <cp:lastModifiedBy>Microsoft Office User</cp:lastModifiedBy>
  <cp:revision>7</cp:revision>
  <cp:lastPrinted>2019-07-01T14:55:00Z</cp:lastPrinted>
  <dcterms:created xsi:type="dcterms:W3CDTF">2019-08-15T09:03:00Z</dcterms:created>
  <dcterms:modified xsi:type="dcterms:W3CDTF">2019-08-15T13:09:00Z</dcterms:modified>
</cp:coreProperties>
</file>