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1157" w14:textId="77777777" w:rsidR="00E445B3" w:rsidRDefault="00E445B3"/>
    <w:p w14:paraId="4CB520B0" w14:textId="23B59F11" w:rsidR="00F5572F" w:rsidRPr="00721FFD" w:rsidRDefault="00553547">
      <w:r>
        <w:t xml:space="preserve">This </w:t>
      </w:r>
      <w:r w:rsidR="003233BB">
        <w:t>Guideline</w:t>
      </w:r>
      <w:r>
        <w:t xml:space="preserve"> and Procedures document provides</w:t>
      </w:r>
      <w:r w:rsidR="00F5572F" w:rsidRPr="00721FFD">
        <w:t xml:space="preserve"> detail on the </w:t>
      </w:r>
      <w:r>
        <w:t xml:space="preserve">purpose, </w:t>
      </w:r>
      <w:r w:rsidR="007878FD">
        <w:t>operation and use</w:t>
      </w:r>
      <w:r w:rsidR="007878FD" w:rsidRPr="00721FFD">
        <w:t xml:space="preserve"> </w:t>
      </w:r>
      <w:r w:rsidR="00F5572F" w:rsidRPr="00721FFD">
        <w:t xml:space="preserve">of </w:t>
      </w:r>
      <w:r w:rsidR="004E7D48">
        <w:t>General Purpose Research Accounts (GPR</w:t>
      </w:r>
      <w:r w:rsidR="0026143E">
        <w:t>s</w:t>
      </w:r>
      <w:r w:rsidR="00F5572F" w:rsidRPr="00721FFD">
        <w:t xml:space="preserve">).  </w:t>
      </w:r>
    </w:p>
    <w:p w14:paraId="5BB3DBA6" w14:textId="77777777" w:rsidR="00DF5696" w:rsidRPr="00721FFD" w:rsidRDefault="00DF5696" w:rsidP="00F5572F">
      <w:pPr>
        <w:pStyle w:val="ListParagraph"/>
        <w:numPr>
          <w:ilvl w:val="0"/>
          <w:numId w:val="1"/>
        </w:numPr>
      </w:pPr>
      <w:r w:rsidRPr="00721FFD">
        <w:t>PURPOSE</w:t>
      </w:r>
    </w:p>
    <w:p w14:paraId="1DFE55BC" w14:textId="77777777" w:rsidR="00504058" w:rsidRPr="00721FFD" w:rsidRDefault="004E7D48" w:rsidP="006D78A0">
      <w:pPr>
        <w:pStyle w:val="ListParagraph"/>
        <w:ind w:left="375"/>
      </w:pPr>
      <w:r>
        <w:t>GPRs</w:t>
      </w:r>
      <w:r w:rsidR="00504058" w:rsidRPr="00721FFD">
        <w:t xml:space="preserve"> are </w:t>
      </w:r>
      <w:r w:rsidR="006D3059">
        <w:t xml:space="preserve">created </w:t>
      </w:r>
      <w:r w:rsidR="00504058" w:rsidRPr="00721FFD">
        <w:t xml:space="preserve">to promote the research and scholarly activities of University of </w:t>
      </w:r>
      <w:r w:rsidR="00AF1504">
        <w:t>Guelph</w:t>
      </w:r>
      <w:r w:rsidR="00504058" w:rsidRPr="00721FFD">
        <w:t xml:space="preserve"> researcher</w:t>
      </w:r>
      <w:r w:rsidR="007878FD">
        <w:t>s</w:t>
      </w:r>
      <w:r w:rsidR="00504058" w:rsidRPr="00721FFD">
        <w:t xml:space="preserve">.  </w:t>
      </w:r>
      <w:r w:rsidR="006D3059">
        <w:t>Al</w:t>
      </w:r>
      <w:r w:rsidR="00504058" w:rsidRPr="00721FFD">
        <w:t xml:space="preserve">though the </w:t>
      </w:r>
      <w:r w:rsidR="00B3283D">
        <w:t>researcher</w:t>
      </w:r>
      <w:r w:rsidR="00B3283D" w:rsidRPr="00721FFD">
        <w:t xml:space="preserve"> </w:t>
      </w:r>
      <w:r w:rsidR="00504058" w:rsidRPr="00721FFD">
        <w:t xml:space="preserve">is given decision-making authority for the </w:t>
      </w:r>
      <w:r w:rsidR="009717FA" w:rsidRPr="00721FFD">
        <w:t>expenditure</w:t>
      </w:r>
      <w:r w:rsidR="00504058" w:rsidRPr="00721FFD">
        <w:t xml:space="preserve"> of </w:t>
      </w:r>
      <w:r>
        <w:t>GPRs</w:t>
      </w:r>
      <w:r w:rsidR="00504058" w:rsidRPr="00721FFD">
        <w:t xml:space="preserve">, it is important to </w:t>
      </w:r>
      <w:r w:rsidR="000019E9">
        <w:t>note</w:t>
      </w:r>
      <w:r w:rsidR="00504058" w:rsidRPr="00721FFD">
        <w:t xml:space="preserve"> that these are </w:t>
      </w:r>
      <w:r w:rsidR="00717915">
        <w:t>U</w:t>
      </w:r>
      <w:r w:rsidR="00504058" w:rsidRPr="00721FFD">
        <w:t xml:space="preserve">niversity funds and </w:t>
      </w:r>
      <w:r w:rsidR="00864DF8">
        <w:t>must</w:t>
      </w:r>
      <w:r w:rsidR="00864DF8" w:rsidRPr="00721FFD">
        <w:t xml:space="preserve"> </w:t>
      </w:r>
      <w:r w:rsidR="00504058" w:rsidRPr="00721FFD">
        <w:t xml:space="preserve">be used to further the research portfolio of the institution through the work of faculty.  The Administering </w:t>
      </w:r>
      <w:r w:rsidR="007878FD">
        <w:t>U</w:t>
      </w:r>
      <w:r w:rsidR="00504058" w:rsidRPr="00721FFD">
        <w:t>nit</w:t>
      </w:r>
      <w:r w:rsidR="007878FD">
        <w:t xml:space="preserve"> (being the researcher’s home department/school/</w:t>
      </w:r>
      <w:proofErr w:type="spellStart"/>
      <w:r w:rsidR="007878FD">
        <w:t>centre</w:t>
      </w:r>
      <w:proofErr w:type="spellEnd"/>
      <w:r w:rsidR="007878FD">
        <w:t>)</w:t>
      </w:r>
      <w:r w:rsidR="00504058" w:rsidRPr="00721FFD">
        <w:t xml:space="preserve"> has a fiduciary responsibility </w:t>
      </w:r>
      <w:r w:rsidR="0098640E">
        <w:t>regarding</w:t>
      </w:r>
      <w:r w:rsidR="007878FD">
        <w:t xml:space="preserve"> </w:t>
      </w:r>
      <w:r>
        <w:t>GPRs</w:t>
      </w:r>
      <w:r w:rsidR="007878FD">
        <w:t xml:space="preserve"> </w:t>
      </w:r>
      <w:r w:rsidR="00504058" w:rsidRPr="00721FFD">
        <w:t xml:space="preserve">and, as with all </w:t>
      </w:r>
      <w:r w:rsidR="00717915">
        <w:t>U</w:t>
      </w:r>
      <w:r w:rsidR="00504058" w:rsidRPr="00721FFD">
        <w:t xml:space="preserve">niversity funds, must </w:t>
      </w:r>
      <w:r w:rsidR="002E179B">
        <w:t>ensure</w:t>
      </w:r>
      <w:r w:rsidR="00504058" w:rsidRPr="00721FFD">
        <w:t xml:space="preserve"> that expenditures and use are appropriate and follow </w:t>
      </w:r>
      <w:r w:rsidR="00717915">
        <w:t>U</w:t>
      </w:r>
      <w:r w:rsidR="00504058" w:rsidRPr="00721FFD">
        <w:t xml:space="preserve">niversity policy and procedures.  </w:t>
      </w:r>
    </w:p>
    <w:p w14:paraId="412BCC63" w14:textId="77777777" w:rsidR="00504058" w:rsidRPr="00721FFD" w:rsidRDefault="00504058" w:rsidP="006D78A0">
      <w:pPr>
        <w:pStyle w:val="ListParagraph"/>
        <w:ind w:left="375"/>
      </w:pPr>
    </w:p>
    <w:p w14:paraId="484CC98E" w14:textId="77777777" w:rsidR="00E72890" w:rsidRPr="00721FFD" w:rsidRDefault="00DF5696" w:rsidP="00E72890">
      <w:pPr>
        <w:pStyle w:val="ListParagraph"/>
        <w:numPr>
          <w:ilvl w:val="0"/>
          <w:numId w:val="1"/>
        </w:numPr>
      </w:pPr>
      <w:r w:rsidRPr="00721FFD">
        <w:t>TERMS</w:t>
      </w:r>
    </w:p>
    <w:p w14:paraId="44DD3363" w14:textId="0BEA88B5" w:rsidR="00F865CD" w:rsidRPr="00721FFD" w:rsidRDefault="004E7D48" w:rsidP="00F865CD">
      <w:pPr>
        <w:pStyle w:val="ListParagraph"/>
        <w:numPr>
          <w:ilvl w:val="0"/>
          <w:numId w:val="11"/>
        </w:numPr>
        <w:tabs>
          <w:tab w:val="left" w:pos="900"/>
        </w:tabs>
      </w:pPr>
      <w:r>
        <w:rPr>
          <w:rFonts w:eastAsia="Times New Roman" w:cs="Arial"/>
          <w:color w:val="000000"/>
          <w:lang w:val="en"/>
        </w:rPr>
        <w:t>GPRs</w:t>
      </w:r>
      <w:r w:rsidR="00E72890" w:rsidRPr="00721FFD">
        <w:rPr>
          <w:rFonts w:eastAsia="Times New Roman" w:cs="Arial"/>
          <w:color w:val="000000"/>
          <w:lang w:val="en"/>
        </w:rPr>
        <w:t xml:space="preserve"> are structured as individual </w:t>
      </w:r>
      <w:r w:rsidR="009B333B">
        <w:rPr>
          <w:rFonts w:eastAsia="Times New Roman" w:cs="Arial"/>
          <w:color w:val="000000"/>
          <w:lang w:val="en"/>
        </w:rPr>
        <w:t xml:space="preserve">Board </w:t>
      </w:r>
      <w:r w:rsidR="00E72890" w:rsidRPr="00721FFD">
        <w:rPr>
          <w:rFonts w:eastAsia="Times New Roman" w:cs="Arial"/>
          <w:color w:val="000000"/>
          <w:lang w:val="en"/>
        </w:rPr>
        <w:t xml:space="preserve">restricted accounts </w:t>
      </w:r>
      <w:r w:rsidR="00F865CD" w:rsidRPr="00721FFD">
        <w:rPr>
          <w:rFonts w:eastAsia="Times New Roman" w:cs="Arial"/>
          <w:color w:val="000000"/>
          <w:lang w:val="en"/>
        </w:rPr>
        <w:t>on an as</w:t>
      </w:r>
      <w:r w:rsidR="00827DF7">
        <w:rPr>
          <w:rFonts w:eastAsia="Times New Roman" w:cs="Arial"/>
          <w:color w:val="000000"/>
          <w:lang w:val="en"/>
        </w:rPr>
        <w:t>-</w:t>
      </w:r>
      <w:r w:rsidR="00F865CD" w:rsidRPr="00721FFD">
        <w:rPr>
          <w:rFonts w:eastAsia="Times New Roman" w:cs="Arial"/>
          <w:color w:val="000000"/>
          <w:lang w:val="en"/>
        </w:rPr>
        <w:t xml:space="preserve">needed basis; i.e., when one of the items in section </w:t>
      </w:r>
      <w:r w:rsidR="0098640E">
        <w:rPr>
          <w:rFonts w:eastAsia="Times New Roman" w:cs="Arial"/>
          <w:color w:val="000000"/>
          <w:lang w:val="en"/>
        </w:rPr>
        <w:t>3</w:t>
      </w:r>
      <w:r w:rsidR="00F865CD" w:rsidRPr="00721FFD">
        <w:rPr>
          <w:rFonts w:eastAsia="Times New Roman" w:cs="Arial"/>
          <w:color w:val="000000"/>
          <w:lang w:val="en"/>
        </w:rPr>
        <w:t xml:space="preserve">.0 is realized.  </w:t>
      </w:r>
    </w:p>
    <w:p w14:paraId="75093EE5" w14:textId="1626F26D" w:rsidR="00F865CD" w:rsidRPr="00121B7C" w:rsidRDefault="00F865CD" w:rsidP="00F865CD">
      <w:pPr>
        <w:pStyle w:val="ListParagraph"/>
        <w:numPr>
          <w:ilvl w:val="0"/>
          <w:numId w:val="11"/>
        </w:numPr>
        <w:tabs>
          <w:tab w:val="left" w:pos="900"/>
        </w:tabs>
      </w:pPr>
      <w:r w:rsidRPr="00721FFD">
        <w:rPr>
          <w:rFonts w:eastAsia="Times New Roman" w:cs="Arial"/>
          <w:color w:val="000000"/>
          <w:lang w:val="en"/>
        </w:rPr>
        <w:t xml:space="preserve">Only </w:t>
      </w:r>
      <w:r w:rsidR="007404CE">
        <w:rPr>
          <w:rFonts w:eastAsia="Times New Roman" w:cs="Arial"/>
          <w:color w:val="000000"/>
          <w:lang w:val="en"/>
        </w:rPr>
        <w:t>people</w:t>
      </w:r>
      <w:r w:rsidRPr="00721FFD">
        <w:rPr>
          <w:rFonts w:eastAsia="Times New Roman" w:cs="Arial"/>
          <w:color w:val="000000"/>
          <w:lang w:val="en"/>
        </w:rPr>
        <w:t xml:space="preserve"> eligible to hold research funding can </w:t>
      </w:r>
      <w:r w:rsidR="002E179B">
        <w:rPr>
          <w:rFonts w:eastAsia="Times New Roman" w:cs="Arial"/>
          <w:color w:val="000000"/>
          <w:lang w:val="en"/>
        </w:rPr>
        <w:t>hold (or manage)</w:t>
      </w:r>
      <w:r w:rsidR="002E179B" w:rsidRPr="00721FFD">
        <w:rPr>
          <w:rFonts w:eastAsia="Times New Roman" w:cs="Arial"/>
          <w:color w:val="000000"/>
          <w:lang w:val="en"/>
        </w:rPr>
        <w:t xml:space="preserve"> </w:t>
      </w:r>
      <w:r w:rsidRPr="00721FFD">
        <w:rPr>
          <w:rFonts w:eastAsia="Times New Roman" w:cs="Arial"/>
          <w:color w:val="000000"/>
          <w:lang w:val="en"/>
        </w:rPr>
        <w:t xml:space="preserve">a </w:t>
      </w:r>
      <w:r w:rsidR="004E7D48">
        <w:rPr>
          <w:rFonts w:eastAsia="Times New Roman" w:cs="Arial"/>
          <w:color w:val="000000"/>
          <w:lang w:val="en"/>
        </w:rPr>
        <w:t>GPR</w:t>
      </w:r>
      <w:r w:rsidR="00377BF6">
        <w:rPr>
          <w:rFonts w:eastAsia="Times New Roman" w:cs="Arial"/>
          <w:color w:val="000000"/>
          <w:lang w:val="en"/>
        </w:rPr>
        <w:t>.</w:t>
      </w:r>
      <w:r w:rsidRPr="00721FFD">
        <w:rPr>
          <w:rFonts w:eastAsia="Times New Roman" w:cs="Arial"/>
          <w:color w:val="000000"/>
          <w:lang w:val="en"/>
        </w:rPr>
        <w:t xml:space="preserve">   </w:t>
      </w:r>
    </w:p>
    <w:p w14:paraId="76ED56F4" w14:textId="785C64FE" w:rsidR="00F865CD" w:rsidRPr="00721FFD" w:rsidRDefault="00E72890" w:rsidP="00F865CD">
      <w:pPr>
        <w:pStyle w:val="ListParagraph"/>
        <w:numPr>
          <w:ilvl w:val="0"/>
          <w:numId w:val="11"/>
        </w:numPr>
        <w:tabs>
          <w:tab w:val="left" w:pos="900"/>
        </w:tabs>
      </w:pPr>
      <w:r w:rsidRPr="00721FFD">
        <w:rPr>
          <w:rFonts w:eastAsia="Times New Roman" w:cs="Arial"/>
          <w:color w:val="000000"/>
          <w:lang w:val="en"/>
        </w:rPr>
        <w:t>The</w:t>
      </w:r>
      <w:r w:rsidR="00D11A49">
        <w:rPr>
          <w:rFonts w:eastAsia="Times New Roman" w:cs="Arial"/>
          <w:color w:val="000000"/>
          <w:lang w:val="en"/>
        </w:rPr>
        <w:t xml:space="preserve"> balance in a GPR account should never be overspent</w:t>
      </w:r>
      <w:r w:rsidR="008D034A">
        <w:rPr>
          <w:rFonts w:eastAsia="Times New Roman" w:cs="Arial"/>
          <w:color w:val="000000"/>
          <w:lang w:val="en"/>
        </w:rPr>
        <w:t>; should this happen, the</w:t>
      </w:r>
      <w:r w:rsidRPr="00721FFD">
        <w:rPr>
          <w:rFonts w:eastAsia="Times New Roman" w:cs="Arial"/>
          <w:color w:val="000000"/>
          <w:lang w:val="en"/>
        </w:rPr>
        <w:t xml:space="preserve"> </w:t>
      </w:r>
      <w:r w:rsidR="00342D9C">
        <w:rPr>
          <w:rFonts w:eastAsia="Times New Roman" w:cs="Arial"/>
          <w:color w:val="000000"/>
          <w:lang w:val="en"/>
        </w:rPr>
        <w:t xml:space="preserve">researcher </w:t>
      </w:r>
      <w:r w:rsidR="00E6159C">
        <w:rPr>
          <w:rFonts w:eastAsia="Times New Roman" w:cs="Arial"/>
          <w:color w:val="000000"/>
          <w:lang w:val="en"/>
        </w:rPr>
        <w:t xml:space="preserve">and ultimately the Department </w:t>
      </w:r>
      <w:r w:rsidR="00342D9C">
        <w:rPr>
          <w:rFonts w:eastAsia="Times New Roman" w:cs="Arial"/>
          <w:color w:val="000000"/>
          <w:lang w:val="en"/>
        </w:rPr>
        <w:t xml:space="preserve">is responsible for </w:t>
      </w:r>
      <w:r w:rsidR="008D034A">
        <w:rPr>
          <w:rFonts w:eastAsia="Times New Roman" w:cs="Arial"/>
          <w:color w:val="000000"/>
          <w:lang w:val="en"/>
        </w:rPr>
        <w:t xml:space="preserve">any </w:t>
      </w:r>
      <w:r w:rsidRPr="00721FFD">
        <w:rPr>
          <w:rFonts w:eastAsia="Times New Roman" w:cs="Arial"/>
          <w:color w:val="000000"/>
          <w:lang w:val="en"/>
        </w:rPr>
        <w:t>overspent</w:t>
      </w:r>
      <w:r w:rsidR="00342D9C">
        <w:rPr>
          <w:rFonts w:eastAsia="Times New Roman" w:cs="Arial"/>
          <w:color w:val="000000"/>
          <w:lang w:val="en"/>
        </w:rPr>
        <w:t xml:space="preserve"> </w:t>
      </w:r>
      <w:r w:rsidR="008D034A">
        <w:rPr>
          <w:rFonts w:eastAsia="Times New Roman" w:cs="Arial"/>
          <w:color w:val="000000"/>
          <w:lang w:val="en"/>
        </w:rPr>
        <w:t>amounts</w:t>
      </w:r>
      <w:r w:rsidR="00377BF6">
        <w:rPr>
          <w:rFonts w:eastAsia="Times New Roman" w:cs="Arial"/>
          <w:color w:val="000000"/>
          <w:lang w:val="en"/>
        </w:rPr>
        <w:t>.</w:t>
      </w:r>
    </w:p>
    <w:p w14:paraId="0A2DD358" w14:textId="77777777" w:rsidR="00F865CD" w:rsidRPr="00721FFD" w:rsidRDefault="00E72890" w:rsidP="00F865CD">
      <w:pPr>
        <w:pStyle w:val="ListParagraph"/>
        <w:numPr>
          <w:ilvl w:val="0"/>
          <w:numId w:val="11"/>
        </w:numPr>
        <w:tabs>
          <w:tab w:val="left" w:pos="900"/>
        </w:tabs>
      </w:pPr>
      <w:r w:rsidRPr="00721FFD">
        <w:rPr>
          <w:rFonts w:eastAsia="Times New Roman" w:cs="Arial"/>
          <w:color w:val="000000"/>
          <w:lang w:val="en"/>
        </w:rPr>
        <w:t xml:space="preserve">Purchases made through </w:t>
      </w:r>
      <w:r w:rsidR="004E7D48">
        <w:rPr>
          <w:rFonts w:eastAsia="Times New Roman" w:cs="Arial"/>
          <w:color w:val="000000"/>
          <w:lang w:val="en"/>
        </w:rPr>
        <w:t>GPRs</w:t>
      </w:r>
      <w:r w:rsidRPr="00721FFD">
        <w:rPr>
          <w:rFonts w:eastAsia="Times New Roman" w:cs="Arial"/>
          <w:color w:val="000000"/>
          <w:lang w:val="en"/>
        </w:rPr>
        <w:t xml:space="preserve"> are to be in accordance with all University procurement policies and procedures.</w:t>
      </w:r>
    </w:p>
    <w:p w14:paraId="1B117E75" w14:textId="77777777" w:rsidR="00F865CD" w:rsidRPr="00721FFD" w:rsidRDefault="00E72890" w:rsidP="00F865CD">
      <w:pPr>
        <w:pStyle w:val="ListParagraph"/>
        <w:numPr>
          <w:ilvl w:val="0"/>
          <w:numId w:val="11"/>
        </w:numPr>
        <w:tabs>
          <w:tab w:val="left" w:pos="900"/>
        </w:tabs>
      </w:pPr>
      <w:r w:rsidRPr="00721FFD">
        <w:rPr>
          <w:rFonts w:eastAsia="Times New Roman" w:cs="Arial"/>
          <w:color w:val="000000"/>
          <w:lang w:val="en"/>
        </w:rPr>
        <w:t xml:space="preserve">All items purchased with </w:t>
      </w:r>
      <w:r w:rsidR="004E7D48">
        <w:rPr>
          <w:rFonts w:eastAsia="Times New Roman" w:cs="Arial"/>
          <w:color w:val="000000"/>
          <w:lang w:val="en"/>
        </w:rPr>
        <w:t>GPRs</w:t>
      </w:r>
      <w:r w:rsidRPr="00721FFD">
        <w:rPr>
          <w:rFonts w:eastAsia="Times New Roman" w:cs="Arial"/>
          <w:color w:val="000000"/>
          <w:lang w:val="en"/>
        </w:rPr>
        <w:t xml:space="preserve"> are the property of the University.</w:t>
      </w:r>
    </w:p>
    <w:p w14:paraId="092D1DC8" w14:textId="77777777" w:rsidR="00E72890" w:rsidRDefault="00E72890" w:rsidP="00E72890">
      <w:pPr>
        <w:pStyle w:val="ListParagraph"/>
        <w:ind w:left="375"/>
      </w:pPr>
    </w:p>
    <w:p w14:paraId="22DC3BE1" w14:textId="77777777" w:rsidR="00DB0070" w:rsidRPr="00721FFD" w:rsidRDefault="00DB0070" w:rsidP="00DB0070">
      <w:pPr>
        <w:pStyle w:val="ListParagraph"/>
        <w:numPr>
          <w:ilvl w:val="0"/>
          <w:numId w:val="1"/>
        </w:numPr>
      </w:pPr>
      <w:r w:rsidRPr="00721FFD">
        <w:t xml:space="preserve">ALLOWABLE TRANSFERS INTO A </w:t>
      </w:r>
      <w:r w:rsidR="004E7D48">
        <w:t>GPR</w:t>
      </w:r>
    </w:p>
    <w:p w14:paraId="75F1DF62" w14:textId="506B3011" w:rsidR="00DB0070" w:rsidRDefault="004E7D48" w:rsidP="00DB0070">
      <w:pPr>
        <w:pStyle w:val="ListParagraph"/>
        <w:ind w:left="375"/>
      </w:pPr>
      <w:r>
        <w:t>GPRs</w:t>
      </w:r>
      <w:r w:rsidR="00DB0070">
        <w:t xml:space="preserve"> are </w:t>
      </w:r>
      <w:r w:rsidR="00D11A49">
        <w:t xml:space="preserve">an account to </w:t>
      </w:r>
      <w:r w:rsidR="008A3BCB">
        <w:t xml:space="preserve">hold </w:t>
      </w:r>
      <w:r w:rsidR="008A3BCB" w:rsidRPr="006D3059">
        <w:t>less</w:t>
      </w:r>
      <w:r w:rsidR="008D034A">
        <w:t xml:space="preserve"> </w:t>
      </w:r>
      <w:r w:rsidR="00DB0070" w:rsidRPr="006D3059">
        <w:t>restricted research funding which is provided to faculty members through various means</w:t>
      </w:r>
      <w:r w:rsidR="00DB0070">
        <w:t>:</w:t>
      </w:r>
    </w:p>
    <w:p w14:paraId="5D2D21A2" w14:textId="77777777" w:rsidR="008D034A" w:rsidRPr="00721FFD" w:rsidRDefault="008D034A" w:rsidP="00DB0070">
      <w:pPr>
        <w:pStyle w:val="ListParagraph"/>
        <w:ind w:left="375"/>
      </w:pPr>
    </w:p>
    <w:p w14:paraId="01ED3D57" w14:textId="643BC905" w:rsidR="00BE67EB" w:rsidRDefault="00DB0070" w:rsidP="00DB0070">
      <w:pPr>
        <w:pStyle w:val="ListParagraph"/>
        <w:numPr>
          <w:ilvl w:val="1"/>
          <w:numId w:val="1"/>
        </w:numPr>
      </w:pPr>
      <w:r w:rsidRPr="00721FFD">
        <w:t xml:space="preserve"> </w:t>
      </w:r>
      <w:r w:rsidR="00BE67EB">
        <w:t>Internal Research Support (start up, seed funding, grad</w:t>
      </w:r>
      <w:r w:rsidR="00D11A49">
        <w:t xml:space="preserve">uate </w:t>
      </w:r>
      <w:r w:rsidR="00BE67EB">
        <w:t>student support)</w:t>
      </w:r>
    </w:p>
    <w:p w14:paraId="13D3B99B" w14:textId="77777777" w:rsidR="008D034A" w:rsidRDefault="008D034A" w:rsidP="008D034A">
      <w:pPr>
        <w:pStyle w:val="ListParagraph"/>
        <w:ind w:left="825"/>
      </w:pPr>
    </w:p>
    <w:p w14:paraId="5B1398BA" w14:textId="39A17409" w:rsidR="00DB0070" w:rsidRPr="00721FFD" w:rsidRDefault="00DB0070" w:rsidP="00DB0070">
      <w:pPr>
        <w:pStyle w:val="ListParagraph"/>
        <w:numPr>
          <w:ilvl w:val="1"/>
          <w:numId w:val="1"/>
        </w:numPr>
      </w:pPr>
      <w:r w:rsidRPr="00721FFD">
        <w:t>Residual</w:t>
      </w:r>
      <w:r>
        <w:t xml:space="preserve"> fund</w:t>
      </w:r>
      <w:r w:rsidRPr="00721FFD">
        <w:t>s from restricted research awards</w:t>
      </w:r>
      <w:r>
        <w:t>,</w:t>
      </w:r>
      <w:r w:rsidRPr="00721FFD">
        <w:t xml:space="preserve"> if allowed by </w:t>
      </w:r>
      <w:r>
        <w:t xml:space="preserve">the </w:t>
      </w:r>
      <w:r w:rsidRPr="00721FFD">
        <w:t>sponsor agency</w:t>
      </w:r>
    </w:p>
    <w:p w14:paraId="19D70797" w14:textId="77777777" w:rsidR="00DB0070" w:rsidRPr="00721FFD" w:rsidRDefault="00DB0070" w:rsidP="00DB0070">
      <w:pPr>
        <w:pStyle w:val="ListParagraph"/>
        <w:ind w:left="825"/>
      </w:pPr>
    </w:p>
    <w:p w14:paraId="694AF489" w14:textId="17729B37" w:rsidR="00DB0070" w:rsidRPr="00721FFD" w:rsidRDefault="00DB0070" w:rsidP="00DB0070">
      <w:pPr>
        <w:pStyle w:val="ListParagraph"/>
        <w:numPr>
          <w:ilvl w:val="1"/>
          <w:numId w:val="1"/>
        </w:numPr>
      </w:pPr>
      <w:r w:rsidRPr="00721FFD">
        <w:t>Royalties earned from commercialized research</w:t>
      </w:r>
      <w:r w:rsidR="008A3BCB">
        <w:t xml:space="preserve"> </w:t>
      </w:r>
    </w:p>
    <w:p w14:paraId="7B940CF3" w14:textId="77777777" w:rsidR="00DB0070" w:rsidRPr="00721FFD" w:rsidRDefault="00DB0070" w:rsidP="00DB0070">
      <w:pPr>
        <w:pStyle w:val="ListParagraph"/>
      </w:pPr>
    </w:p>
    <w:p w14:paraId="79C1B6AB" w14:textId="1FA21EDD" w:rsidR="00DB0070" w:rsidRDefault="00D73229" w:rsidP="00DB0070">
      <w:pPr>
        <w:pStyle w:val="ListParagraph"/>
        <w:numPr>
          <w:ilvl w:val="1"/>
          <w:numId w:val="1"/>
        </w:numPr>
      </w:pPr>
      <w:r>
        <w:t>R</w:t>
      </w:r>
      <w:r w:rsidR="00D11A49">
        <w:t xml:space="preserve">eturn of </w:t>
      </w:r>
      <w:r w:rsidR="00175E13">
        <w:t>Indirect</w:t>
      </w:r>
      <w:r w:rsidR="00175E13" w:rsidRPr="00721FFD">
        <w:t xml:space="preserve"> </w:t>
      </w:r>
      <w:r w:rsidR="00DB0070" w:rsidRPr="00721FFD">
        <w:t>Costs of Research</w:t>
      </w:r>
      <w:r w:rsidR="00DB0070">
        <w:t>,</w:t>
      </w:r>
      <w:r w:rsidR="00DB0070" w:rsidRPr="00721FFD">
        <w:t xml:space="preserve"> </w:t>
      </w:r>
      <w:r w:rsidR="00DB0070">
        <w:t>if</w:t>
      </w:r>
      <w:r w:rsidR="00DB0070" w:rsidRPr="00721FFD">
        <w:t xml:space="preserve"> allocated to researchers </w:t>
      </w:r>
      <w:r w:rsidR="00DB0070">
        <w:t>by</w:t>
      </w:r>
      <w:r w:rsidR="00DB0070" w:rsidRPr="00721FFD">
        <w:t xml:space="preserve"> </w:t>
      </w:r>
      <w:r w:rsidR="00DB0070">
        <w:t>their Administering Unit</w:t>
      </w:r>
    </w:p>
    <w:p w14:paraId="037A3B4A" w14:textId="77777777" w:rsidR="00246DF8" w:rsidRDefault="00246DF8" w:rsidP="00E6159C">
      <w:pPr>
        <w:pStyle w:val="ListParagraph"/>
      </w:pPr>
    </w:p>
    <w:p w14:paraId="21C45193" w14:textId="338BDFC0" w:rsidR="00246DF8" w:rsidRPr="00721FFD" w:rsidRDefault="00D73229" w:rsidP="00DB0070">
      <w:pPr>
        <w:pStyle w:val="ListParagraph"/>
        <w:numPr>
          <w:ilvl w:val="1"/>
          <w:numId w:val="1"/>
        </w:numPr>
      </w:pPr>
      <w:r>
        <w:t>N</w:t>
      </w:r>
      <w:r w:rsidR="00246DF8">
        <w:t>et proceeds from conferences or workshops hosted by researchers</w:t>
      </w:r>
    </w:p>
    <w:p w14:paraId="1789A9A5" w14:textId="77777777" w:rsidR="00DB0070" w:rsidRPr="00721FFD" w:rsidRDefault="00DB0070" w:rsidP="00DB0070">
      <w:pPr>
        <w:pStyle w:val="ListParagraph"/>
        <w:ind w:left="825"/>
      </w:pPr>
    </w:p>
    <w:p w14:paraId="173DEB99" w14:textId="6B1F45D0" w:rsidR="00DB0070" w:rsidRPr="00721FFD" w:rsidRDefault="00DB0070" w:rsidP="00DB0070">
      <w:pPr>
        <w:pStyle w:val="ListParagraph"/>
        <w:numPr>
          <w:ilvl w:val="1"/>
          <w:numId w:val="1"/>
        </w:numPr>
      </w:pPr>
      <w:r w:rsidRPr="00721FFD">
        <w:t xml:space="preserve"> </w:t>
      </w:r>
      <w:r w:rsidR="00A5312C">
        <w:t>F</w:t>
      </w:r>
      <w:r w:rsidRPr="00721FFD">
        <w:t xml:space="preserve">unding </w:t>
      </w:r>
      <w:r w:rsidR="00D11A49">
        <w:t>from a</w:t>
      </w:r>
      <w:r w:rsidR="00AD15B5">
        <w:t>n external</w:t>
      </w:r>
      <w:r w:rsidR="00D11A49">
        <w:t xml:space="preserve"> sponsor </w:t>
      </w:r>
      <w:r w:rsidRPr="00721FFD">
        <w:t xml:space="preserve">for research activities </w:t>
      </w:r>
      <w:r>
        <w:t>provided that</w:t>
      </w:r>
      <w:r w:rsidRPr="00721FFD">
        <w:t xml:space="preserve"> all of the following criteria are met</w:t>
      </w:r>
      <w:r w:rsidR="00A5312C">
        <w:t xml:space="preserve">; essentially the funding is not provided for a </w:t>
      </w:r>
      <w:r w:rsidR="00D11A49">
        <w:t xml:space="preserve">specific </w:t>
      </w:r>
      <w:r w:rsidR="00A5312C">
        <w:t>project</w:t>
      </w:r>
      <w:r w:rsidRPr="00721FFD">
        <w:t>:</w:t>
      </w:r>
    </w:p>
    <w:p w14:paraId="3D83F917" w14:textId="77777777" w:rsidR="00DB0070" w:rsidRPr="00721FFD" w:rsidRDefault="00DB0070" w:rsidP="00DB0070">
      <w:pPr>
        <w:pStyle w:val="ListParagraph"/>
        <w:numPr>
          <w:ilvl w:val="0"/>
          <w:numId w:val="9"/>
        </w:numPr>
      </w:pPr>
      <w:r w:rsidRPr="00721FFD">
        <w:t>There are no</w:t>
      </w:r>
      <w:r w:rsidR="00121B7C">
        <w:t xml:space="preserve"> financial or technical</w:t>
      </w:r>
      <w:r w:rsidRPr="00721FFD">
        <w:t xml:space="preserve"> reporting requirements, </w:t>
      </w:r>
    </w:p>
    <w:p w14:paraId="0AF7BD27" w14:textId="149BAAC3" w:rsidR="00DB0070" w:rsidRDefault="00EE185D" w:rsidP="00DB0070">
      <w:pPr>
        <w:pStyle w:val="ListParagraph"/>
        <w:numPr>
          <w:ilvl w:val="0"/>
          <w:numId w:val="9"/>
        </w:numPr>
      </w:pPr>
      <w:r>
        <w:t>t</w:t>
      </w:r>
      <w:r w:rsidR="00DB0070" w:rsidRPr="00721FFD">
        <w:t>here are no obligations to the funder,</w:t>
      </w:r>
    </w:p>
    <w:p w14:paraId="5D2033D1" w14:textId="2709FD94" w:rsidR="00121B7C" w:rsidRPr="00721FFD" w:rsidRDefault="00EE185D" w:rsidP="00DB0070">
      <w:pPr>
        <w:pStyle w:val="ListParagraph"/>
        <w:numPr>
          <w:ilvl w:val="0"/>
          <w:numId w:val="9"/>
        </w:numPr>
      </w:pPr>
      <w:r>
        <w:t>t</w:t>
      </w:r>
      <w:r w:rsidR="00121B7C">
        <w:t xml:space="preserve">he amount </w:t>
      </w:r>
      <w:r w:rsidR="0096163E" w:rsidRPr="004E0A66">
        <w:t>of external funding</w:t>
      </w:r>
      <w:r w:rsidR="0096163E">
        <w:t xml:space="preserve"> </w:t>
      </w:r>
      <w:r w:rsidR="00121B7C">
        <w:t>is not in excess of $5,00</w:t>
      </w:r>
      <w:r w:rsidR="00BE67EB">
        <w:t>0 and non-recurring in any fiscal year,</w:t>
      </w:r>
    </w:p>
    <w:p w14:paraId="3770D109" w14:textId="6ECB328E" w:rsidR="00DB0070" w:rsidRPr="00721FFD" w:rsidRDefault="00EE185D" w:rsidP="00DB0070">
      <w:pPr>
        <w:pStyle w:val="ListParagraph"/>
        <w:numPr>
          <w:ilvl w:val="0"/>
          <w:numId w:val="9"/>
        </w:numPr>
      </w:pPr>
      <w:r>
        <w:t>r</w:t>
      </w:r>
      <w:r w:rsidR="00DB0070" w:rsidRPr="00721FFD">
        <w:t>esiduals can be retained for future research purposes, and</w:t>
      </w:r>
    </w:p>
    <w:p w14:paraId="7E1026A0" w14:textId="6CA95E2E" w:rsidR="00DB0070" w:rsidRPr="00721FFD" w:rsidRDefault="00A97FC3" w:rsidP="00DB0070">
      <w:pPr>
        <w:pStyle w:val="ListParagraph"/>
        <w:numPr>
          <w:ilvl w:val="0"/>
          <w:numId w:val="9"/>
        </w:numPr>
      </w:pPr>
      <w:bookmarkStart w:id="0" w:name="_GoBack"/>
      <w:bookmarkEnd w:id="0"/>
      <w:r>
        <w:lastRenderedPageBreak/>
        <w:t>There</w:t>
      </w:r>
      <w:r w:rsidR="00DB0070" w:rsidRPr="00721FFD">
        <w:t xml:space="preserve"> is no end date. </w:t>
      </w:r>
    </w:p>
    <w:p w14:paraId="4CA6B898" w14:textId="77777777" w:rsidR="00DB0070" w:rsidRPr="00721FFD" w:rsidRDefault="00DB0070" w:rsidP="00E72890">
      <w:pPr>
        <w:pStyle w:val="ListParagraph"/>
        <w:ind w:left="375"/>
      </w:pPr>
    </w:p>
    <w:p w14:paraId="33046B6C" w14:textId="77777777" w:rsidR="006D78A0" w:rsidRPr="00721FFD" w:rsidRDefault="006D78A0" w:rsidP="006D78A0">
      <w:pPr>
        <w:pStyle w:val="ListParagraph"/>
        <w:numPr>
          <w:ilvl w:val="0"/>
          <w:numId w:val="1"/>
        </w:numPr>
      </w:pPr>
      <w:r w:rsidRPr="00721FFD">
        <w:t>ROLES AND RESPONSIBILITIES</w:t>
      </w:r>
    </w:p>
    <w:p w14:paraId="4B99DDA8" w14:textId="78F26A40" w:rsidR="00F865CD" w:rsidRPr="00721FFD" w:rsidRDefault="006D78A0" w:rsidP="00F865CD">
      <w:pPr>
        <w:pStyle w:val="ListParagraph"/>
        <w:numPr>
          <w:ilvl w:val="1"/>
          <w:numId w:val="1"/>
        </w:numPr>
      </w:pPr>
      <w:r w:rsidRPr="00721FFD">
        <w:t xml:space="preserve">The </w:t>
      </w:r>
      <w:r w:rsidR="00246DF8">
        <w:t>researcher</w:t>
      </w:r>
      <w:r w:rsidRPr="00721FFD">
        <w:t xml:space="preserve"> is responsible for:</w:t>
      </w:r>
    </w:p>
    <w:p w14:paraId="68D9648C" w14:textId="77777777" w:rsidR="00F865CD" w:rsidRDefault="00721FFD" w:rsidP="00F865CD">
      <w:pPr>
        <w:pStyle w:val="ListParagraph"/>
        <w:numPr>
          <w:ilvl w:val="0"/>
          <w:numId w:val="12"/>
        </w:numPr>
      </w:pPr>
      <w:r w:rsidRPr="00721FFD">
        <w:t>e</w:t>
      </w:r>
      <w:r w:rsidR="00F865CD" w:rsidRPr="00721FFD">
        <w:t xml:space="preserve">nsuring the financial management of the </w:t>
      </w:r>
      <w:r w:rsidR="004E7D48">
        <w:t>GPR</w:t>
      </w:r>
      <w:r w:rsidR="00F865CD" w:rsidRPr="00721FFD">
        <w:t xml:space="preserve"> which includes not incurring over</w:t>
      </w:r>
      <w:r w:rsidR="00827DF7">
        <w:t>-</w:t>
      </w:r>
      <w:r w:rsidR="00F865CD" w:rsidRPr="00721FFD">
        <w:t xml:space="preserve"> expenditures</w:t>
      </w:r>
      <w:r w:rsidR="00121B7C">
        <w:t xml:space="preserve"> and ensuring the appropriate allocation of expenditures</w:t>
      </w:r>
      <w:r w:rsidR="00F865CD" w:rsidRPr="00721FFD">
        <w:t>;</w:t>
      </w:r>
    </w:p>
    <w:p w14:paraId="76F34BFD" w14:textId="77777777" w:rsidR="00F865CD" w:rsidRPr="00721FFD" w:rsidRDefault="00721FFD" w:rsidP="00F865CD">
      <w:pPr>
        <w:pStyle w:val="ListParagraph"/>
        <w:numPr>
          <w:ilvl w:val="0"/>
          <w:numId w:val="12"/>
        </w:numPr>
      </w:pPr>
      <w:r w:rsidRPr="00721FFD">
        <w:t>e</w:t>
      </w:r>
      <w:r w:rsidR="00F865CD" w:rsidRPr="00721FFD">
        <w:t xml:space="preserve">nsuring all </w:t>
      </w:r>
      <w:r w:rsidR="004E7D48" w:rsidRPr="00721FFD">
        <w:t xml:space="preserve">students </w:t>
      </w:r>
      <w:r w:rsidR="004E7D48">
        <w:t>paid</w:t>
      </w:r>
      <w:r w:rsidR="007878FD">
        <w:t xml:space="preserve"> from</w:t>
      </w:r>
      <w:r w:rsidR="00F865CD" w:rsidRPr="00721FFD">
        <w:t xml:space="preserve"> the </w:t>
      </w:r>
      <w:r w:rsidR="004E7D48">
        <w:t>GPR</w:t>
      </w:r>
      <w:r w:rsidR="00F865CD" w:rsidRPr="00721FFD">
        <w:t xml:space="preserve"> are fully informed of and agree to comply with all appl</w:t>
      </w:r>
      <w:r w:rsidRPr="00721FFD">
        <w:t>icable policies and procedures;</w:t>
      </w:r>
    </w:p>
    <w:p w14:paraId="6EB70FC9" w14:textId="77777777" w:rsidR="00F865CD" w:rsidRPr="00721FFD" w:rsidRDefault="00721FFD" w:rsidP="00F865CD">
      <w:pPr>
        <w:pStyle w:val="ListParagraph"/>
        <w:numPr>
          <w:ilvl w:val="0"/>
          <w:numId w:val="12"/>
        </w:numPr>
      </w:pPr>
      <w:r w:rsidRPr="00721FFD">
        <w:t>m</w:t>
      </w:r>
      <w:r w:rsidR="00F865CD" w:rsidRPr="00721FFD">
        <w:t xml:space="preserve">aintaining applicable scholarly or scientific records and data; </w:t>
      </w:r>
    </w:p>
    <w:p w14:paraId="7FE57AFE" w14:textId="74085388" w:rsidR="00F865CD" w:rsidRPr="00721FFD" w:rsidRDefault="00121B7C" w:rsidP="00615BF1">
      <w:pPr>
        <w:pStyle w:val="ListParagraph"/>
        <w:numPr>
          <w:ilvl w:val="0"/>
          <w:numId w:val="12"/>
        </w:numPr>
      </w:pPr>
      <w:r>
        <w:t>adher</w:t>
      </w:r>
      <w:r w:rsidR="008D034A">
        <w:t>ing</w:t>
      </w:r>
      <w:r>
        <w:t xml:space="preserve"> to all university policies and procedures, including but not limited to </w:t>
      </w:r>
      <w:r w:rsidR="00721FFD" w:rsidRPr="00721FFD">
        <w:t>a</w:t>
      </w:r>
      <w:r w:rsidR="00F865CD" w:rsidRPr="00721FFD">
        <w:t>uthorizing or approving delegation of signing authority for all expenditures</w:t>
      </w:r>
      <w:r>
        <w:t xml:space="preserve">, </w:t>
      </w:r>
      <w:r w:rsidR="00721FFD" w:rsidRPr="00721FFD">
        <w:t>e</w:t>
      </w:r>
      <w:r w:rsidR="00F865CD" w:rsidRPr="00721FFD">
        <w:t>nsuring all regulatory requirements are met;</w:t>
      </w:r>
      <w:r w:rsidR="00721FFD" w:rsidRPr="00721FFD">
        <w:t xml:space="preserve"> and</w:t>
      </w:r>
    </w:p>
    <w:p w14:paraId="21AC4E8C" w14:textId="4E380CC9" w:rsidR="00F865CD" w:rsidRPr="00721FFD" w:rsidRDefault="00721FFD" w:rsidP="00F865CD">
      <w:pPr>
        <w:pStyle w:val="ListParagraph"/>
        <w:numPr>
          <w:ilvl w:val="0"/>
          <w:numId w:val="12"/>
        </w:numPr>
      </w:pPr>
      <w:proofErr w:type="gramStart"/>
      <w:r w:rsidRPr="00721FFD">
        <w:t>i</w:t>
      </w:r>
      <w:r w:rsidR="00F865CD" w:rsidRPr="00721FFD">
        <w:t>nforming</w:t>
      </w:r>
      <w:proofErr w:type="gramEnd"/>
      <w:r w:rsidR="00F865CD" w:rsidRPr="00721FFD">
        <w:t xml:space="preserve"> </w:t>
      </w:r>
      <w:r w:rsidR="00175E13">
        <w:t>the Office of Research</w:t>
      </w:r>
      <w:r w:rsidR="008C2FAB">
        <w:t xml:space="preserve"> Services (ORS)</w:t>
      </w:r>
      <w:r w:rsidR="00175E13">
        <w:t xml:space="preserve"> </w:t>
      </w:r>
      <w:r w:rsidR="00F865CD" w:rsidRPr="00721FFD">
        <w:t xml:space="preserve">if there is a change in </w:t>
      </w:r>
      <w:r w:rsidR="00D11A49">
        <w:t xml:space="preserve">their own </w:t>
      </w:r>
      <w:r w:rsidR="00F865CD" w:rsidRPr="00721FFD">
        <w:t>academic or eligibility status</w:t>
      </w:r>
      <w:r w:rsidR="00246DF8">
        <w:t xml:space="preserve">.  </w:t>
      </w:r>
    </w:p>
    <w:p w14:paraId="6A4E1677" w14:textId="77777777" w:rsidR="00721FFD" w:rsidRPr="00721FFD" w:rsidRDefault="00721FFD" w:rsidP="00721FFD">
      <w:pPr>
        <w:pStyle w:val="ListParagraph"/>
        <w:ind w:left="1545"/>
      </w:pPr>
    </w:p>
    <w:p w14:paraId="50C0C99E" w14:textId="77777777" w:rsidR="006D78A0" w:rsidRPr="00721FFD" w:rsidRDefault="006D78A0" w:rsidP="006D78A0">
      <w:pPr>
        <w:pStyle w:val="ListParagraph"/>
        <w:numPr>
          <w:ilvl w:val="1"/>
          <w:numId w:val="1"/>
        </w:numPr>
      </w:pPr>
      <w:r w:rsidRPr="00721FFD">
        <w:t>The Administering Unit is responsible for:</w:t>
      </w:r>
    </w:p>
    <w:p w14:paraId="0F038BF1" w14:textId="574F58FA" w:rsidR="00DB0070" w:rsidRDefault="007C6100" w:rsidP="007C61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 xml:space="preserve">approving and providing the necessary support for the </w:t>
      </w:r>
      <w:r w:rsidR="00D11A49">
        <w:rPr>
          <w:rFonts w:cs="Times New Roman"/>
        </w:rPr>
        <w:t>r</w:t>
      </w:r>
      <w:r w:rsidRPr="00721FFD">
        <w:rPr>
          <w:rFonts w:cs="Times New Roman"/>
        </w:rPr>
        <w:t>esearch</w:t>
      </w:r>
      <w:r w:rsidR="00721FFD" w:rsidRPr="00721FFD">
        <w:rPr>
          <w:rFonts w:cs="Times New Roman"/>
        </w:rPr>
        <w:t xml:space="preserve"> </w:t>
      </w:r>
      <w:r w:rsidRPr="00721FFD">
        <w:rPr>
          <w:rFonts w:cs="Times New Roman"/>
        </w:rPr>
        <w:t>(including administrative support, financial support and space</w:t>
      </w:r>
      <w:r w:rsidR="00721FFD" w:rsidRPr="00721FFD">
        <w:rPr>
          <w:rFonts w:cs="Times New Roman"/>
        </w:rPr>
        <w:t xml:space="preserve"> if applicable</w:t>
      </w:r>
      <w:r w:rsidRPr="00721FFD">
        <w:rPr>
          <w:rFonts w:cs="Times New Roman"/>
        </w:rPr>
        <w:t xml:space="preserve">) </w:t>
      </w:r>
    </w:p>
    <w:p w14:paraId="161C525A" w14:textId="0B9F74AF" w:rsidR="007C6100" w:rsidRPr="00721FFD" w:rsidRDefault="007C6100" w:rsidP="007C61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 xml:space="preserve">ensuring that any involvement of trainees </w:t>
      </w:r>
      <w:r w:rsidR="00D11A49" w:rsidRPr="00721FFD">
        <w:rPr>
          <w:rFonts w:cs="Times New Roman"/>
        </w:rPr>
        <w:t>(undergraduate and graduate students, post-doctoral fellows, residents, etc.)</w:t>
      </w:r>
      <w:r w:rsidR="00D11A49">
        <w:rPr>
          <w:rFonts w:cs="Times New Roman"/>
        </w:rPr>
        <w:t xml:space="preserve"> </w:t>
      </w:r>
      <w:r w:rsidR="003003B7">
        <w:rPr>
          <w:rFonts w:cs="Times New Roman"/>
        </w:rPr>
        <w:t xml:space="preserve">paid from </w:t>
      </w:r>
      <w:r w:rsidR="004E7D48">
        <w:rPr>
          <w:rFonts w:cs="Times New Roman"/>
        </w:rPr>
        <w:t>GPR</w:t>
      </w:r>
      <w:r w:rsidR="003003B7">
        <w:rPr>
          <w:rFonts w:cs="Times New Roman"/>
        </w:rPr>
        <w:t xml:space="preserve"> </w:t>
      </w:r>
      <w:r w:rsidRPr="00721FFD">
        <w:rPr>
          <w:rFonts w:cs="Times New Roman"/>
        </w:rPr>
        <w:t>is appropriate</w:t>
      </w:r>
      <w:r w:rsidR="00D11A49">
        <w:rPr>
          <w:rFonts w:cs="Times New Roman"/>
        </w:rPr>
        <w:t xml:space="preserve"> and</w:t>
      </w:r>
      <w:r w:rsidR="007075F5">
        <w:rPr>
          <w:rFonts w:cs="Times New Roman"/>
        </w:rPr>
        <w:t xml:space="preserve"> in accordance with university policies and procedures; </w:t>
      </w:r>
    </w:p>
    <w:p w14:paraId="57900A34" w14:textId="2D92C225" w:rsidR="00721FFD" w:rsidRPr="00721FFD" w:rsidRDefault="007C6100" w:rsidP="007C61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>verifying the PIs academic status</w:t>
      </w:r>
      <w:r w:rsidR="00121B7C">
        <w:rPr>
          <w:rFonts w:cs="Times New Roman"/>
        </w:rPr>
        <w:t xml:space="preserve"> and informing </w:t>
      </w:r>
      <w:r w:rsidR="00246DF8">
        <w:rPr>
          <w:rFonts w:cs="Times New Roman"/>
        </w:rPr>
        <w:t>Office of Research</w:t>
      </w:r>
      <w:r w:rsidR="00121B7C">
        <w:rPr>
          <w:rFonts w:cs="Times New Roman"/>
        </w:rPr>
        <w:t xml:space="preserve"> of any changes</w:t>
      </w:r>
      <w:r w:rsidRPr="00721FFD">
        <w:rPr>
          <w:rFonts w:cs="Times New Roman"/>
        </w:rPr>
        <w:t>;</w:t>
      </w:r>
    </w:p>
    <w:p w14:paraId="4BE45FFB" w14:textId="77777777" w:rsidR="007C6100" w:rsidRDefault="007C6100" w:rsidP="007C61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>processing authorized expenditures in accordance with the policies and procedures of the</w:t>
      </w:r>
      <w:r w:rsidR="00721FFD" w:rsidRPr="00721FFD">
        <w:rPr>
          <w:rFonts w:cs="Times New Roman"/>
        </w:rPr>
        <w:t xml:space="preserve"> </w:t>
      </w:r>
      <w:r w:rsidRPr="00721FFD">
        <w:rPr>
          <w:rFonts w:cs="Times New Roman"/>
        </w:rPr>
        <w:t>University;</w:t>
      </w:r>
    </w:p>
    <w:p w14:paraId="1342FA07" w14:textId="5D254C22" w:rsidR="000B2355" w:rsidRDefault="000B2355" w:rsidP="000B23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 xml:space="preserve">notifying </w:t>
      </w:r>
      <w:r w:rsidR="00246DF8">
        <w:rPr>
          <w:rFonts w:cs="Times New Roman"/>
        </w:rPr>
        <w:t>Office of Research of</w:t>
      </w:r>
      <w:r w:rsidRPr="00721FFD">
        <w:rPr>
          <w:rFonts w:cs="Times New Roman"/>
        </w:rPr>
        <w:t xml:space="preserve"> any changes in academic status of</w:t>
      </w:r>
      <w:r>
        <w:rPr>
          <w:rFonts w:cs="Times New Roman"/>
        </w:rPr>
        <w:t xml:space="preserve"> a </w:t>
      </w:r>
      <w:r w:rsidRPr="00721FFD">
        <w:rPr>
          <w:rFonts w:cs="Times New Roman"/>
        </w:rPr>
        <w:t xml:space="preserve">PI or Co-I which </w:t>
      </w:r>
      <w:r>
        <w:rPr>
          <w:rFonts w:cs="Times New Roman"/>
        </w:rPr>
        <w:t>ORS</w:t>
      </w:r>
      <w:r w:rsidRPr="00721FFD">
        <w:rPr>
          <w:rFonts w:cs="Times New Roman"/>
        </w:rPr>
        <w:t xml:space="preserve"> becomes aware of (if applicable); </w:t>
      </w:r>
    </w:p>
    <w:p w14:paraId="0B7E89DB" w14:textId="678DF0E3" w:rsidR="007C6100" w:rsidRPr="00721FFD" w:rsidRDefault="007C6100" w:rsidP="007C61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721FFD">
        <w:rPr>
          <w:rFonts w:cs="Times New Roman"/>
        </w:rPr>
        <w:t>finding</w:t>
      </w:r>
      <w:proofErr w:type="gramEnd"/>
      <w:r w:rsidRPr="00721FFD">
        <w:rPr>
          <w:rFonts w:cs="Times New Roman"/>
        </w:rPr>
        <w:t xml:space="preserve"> resolution with the </w:t>
      </w:r>
      <w:r w:rsidR="00246DF8">
        <w:rPr>
          <w:rFonts w:cs="Times New Roman"/>
        </w:rPr>
        <w:t>researcher</w:t>
      </w:r>
      <w:r w:rsidRPr="00721FFD">
        <w:rPr>
          <w:rFonts w:cs="Times New Roman"/>
        </w:rPr>
        <w:t xml:space="preserve"> and within the</w:t>
      </w:r>
      <w:r w:rsidR="00721FFD" w:rsidRPr="00721FFD">
        <w:rPr>
          <w:rFonts w:cs="Times New Roman"/>
        </w:rPr>
        <w:t xml:space="preserve"> </w:t>
      </w:r>
      <w:r w:rsidRPr="00721FFD">
        <w:rPr>
          <w:rFonts w:cs="Times New Roman"/>
        </w:rPr>
        <w:t xml:space="preserve">college and </w:t>
      </w:r>
      <w:proofErr w:type="spellStart"/>
      <w:r w:rsidRPr="00721FFD">
        <w:rPr>
          <w:rFonts w:cs="Times New Roman"/>
        </w:rPr>
        <w:t>centre</w:t>
      </w:r>
      <w:proofErr w:type="spellEnd"/>
      <w:r w:rsidRPr="00721FFD">
        <w:rPr>
          <w:rFonts w:cs="Times New Roman"/>
        </w:rPr>
        <w:t>/institute/school</w:t>
      </w:r>
      <w:r w:rsidR="00B04A71">
        <w:rPr>
          <w:rFonts w:cs="Times New Roman"/>
        </w:rPr>
        <w:t>/</w:t>
      </w:r>
      <w:r w:rsidR="00246DF8">
        <w:rPr>
          <w:rFonts w:cs="Times New Roman"/>
        </w:rPr>
        <w:t xml:space="preserve">department </w:t>
      </w:r>
      <w:r w:rsidR="00246DF8" w:rsidRPr="00721FFD">
        <w:rPr>
          <w:rFonts w:cs="Times New Roman"/>
        </w:rPr>
        <w:t>(</w:t>
      </w:r>
      <w:r w:rsidRPr="00721FFD">
        <w:rPr>
          <w:rFonts w:cs="Times New Roman"/>
        </w:rPr>
        <w:t>as appropriate) of all financial</w:t>
      </w:r>
      <w:r w:rsidR="00721FFD" w:rsidRPr="00721FFD">
        <w:rPr>
          <w:rFonts w:cs="Times New Roman"/>
        </w:rPr>
        <w:t xml:space="preserve"> </w:t>
      </w:r>
      <w:r w:rsidRPr="00721FFD">
        <w:rPr>
          <w:rFonts w:cs="Times New Roman"/>
        </w:rPr>
        <w:t xml:space="preserve">shortfalls associated with the </w:t>
      </w:r>
      <w:r w:rsidR="007F4AAF">
        <w:rPr>
          <w:rFonts w:cs="Times New Roman"/>
        </w:rPr>
        <w:t>G</w:t>
      </w:r>
      <w:r w:rsidR="00121B7C">
        <w:rPr>
          <w:rFonts w:cs="Times New Roman"/>
        </w:rPr>
        <w:t>PR</w:t>
      </w:r>
      <w:r w:rsidR="00721FFD" w:rsidRPr="00721FFD">
        <w:rPr>
          <w:rFonts w:cs="Times New Roman"/>
        </w:rPr>
        <w:t>.</w:t>
      </w:r>
    </w:p>
    <w:p w14:paraId="107B4997" w14:textId="77777777" w:rsidR="00721FFD" w:rsidRPr="000B2355" w:rsidRDefault="00721FFD" w:rsidP="000B23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4C2CDB7" w14:textId="77333FC4" w:rsidR="006D78A0" w:rsidRPr="00721FFD" w:rsidRDefault="008C2FAB" w:rsidP="006D78A0">
      <w:pPr>
        <w:pStyle w:val="ListParagraph"/>
        <w:numPr>
          <w:ilvl w:val="1"/>
          <w:numId w:val="1"/>
        </w:numPr>
      </w:pPr>
      <w:r>
        <w:rPr>
          <w:rFonts w:cs="Times New Roman"/>
        </w:rPr>
        <w:t xml:space="preserve">Research </w:t>
      </w:r>
      <w:r w:rsidR="004E7D48">
        <w:t>Financial Services</w:t>
      </w:r>
      <w:r w:rsidR="006D78A0" w:rsidRPr="00721FFD">
        <w:t xml:space="preserve"> is responsible for:</w:t>
      </w:r>
    </w:p>
    <w:p w14:paraId="205AD799" w14:textId="77777777" w:rsidR="000B2355" w:rsidRDefault="000B2355" w:rsidP="000B23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 xml:space="preserve">ensuring all requests to open a </w:t>
      </w:r>
      <w:r>
        <w:rPr>
          <w:rFonts w:cs="Times New Roman"/>
        </w:rPr>
        <w:t>GPR</w:t>
      </w:r>
      <w:r w:rsidRPr="00721FFD">
        <w:rPr>
          <w:rFonts w:cs="Times New Roman"/>
        </w:rPr>
        <w:t xml:space="preserve"> ha</w:t>
      </w:r>
      <w:r>
        <w:rPr>
          <w:rFonts w:cs="Times New Roman"/>
        </w:rPr>
        <w:t>ve</w:t>
      </w:r>
      <w:r w:rsidRPr="00721FFD">
        <w:rPr>
          <w:rFonts w:cs="Times New Roman"/>
        </w:rPr>
        <w:t xml:space="preserve"> the proper institutional authorizations before authorizing;</w:t>
      </w:r>
    </w:p>
    <w:p w14:paraId="580DD48F" w14:textId="4B5F28AE" w:rsidR="000B2355" w:rsidRPr="000B2355" w:rsidRDefault="000B2355" w:rsidP="000B23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 xml:space="preserve">setting up the </w:t>
      </w:r>
      <w:r>
        <w:rPr>
          <w:rFonts w:cs="Times New Roman"/>
        </w:rPr>
        <w:t>Account</w:t>
      </w:r>
      <w:r w:rsidRPr="00721FFD">
        <w:rPr>
          <w:rFonts w:cs="Times New Roman"/>
        </w:rPr>
        <w:t xml:space="preserve"> and notifying the PI; </w:t>
      </w:r>
    </w:p>
    <w:p w14:paraId="25A052D5" w14:textId="1CA86A7D" w:rsidR="000B2355" w:rsidRDefault="000B2355" w:rsidP="000B23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>authoriz</w:t>
      </w:r>
      <w:r>
        <w:rPr>
          <w:rFonts w:cs="Times New Roman"/>
        </w:rPr>
        <w:t>ing</w:t>
      </w:r>
      <w:r w:rsidRPr="00721FFD">
        <w:rPr>
          <w:rFonts w:cs="Times New Roman"/>
        </w:rPr>
        <w:t xml:space="preserve"> the transfer of </w:t>
      </w:r>
      <w:r w:rsidR="00B04A71">
        <w:rPr>
          <w:rFonts w:cs="Times New Roman"/>
        </w:rPr>
        <w:t xml:space="preserve">residual research </w:t>
      </w:r>
      <w:r w:rsidRPr="00721FFD">
        <w:rPr>
          <w:rFonts w:cs="Times New Roman"/>
        </w:rPr>
        <w:t>fund</w:t>
      </w:r>
      <w:r w:rsidR="00B04A71">
        <w:rPr>
          <w:rFonts w:cs="Times New Roman"/>
        </w:rPr>
        <w:t>s</w:t>
      </w:r>
      <w:r w:rsidRPr="00721FFD">
        <w:rPr>
          <w:rFonts w:cs="Times New Roman"/>
        </w:rPr>
        <w:t xml:space="preserve"> into </w:t>
      </w:r>
      <w:r>
        <w:rPr>
          <w:rFonts w:cs="Times New Roman"/>
        </w:rPr>
        <w:t>GPRs</w:t>
      </w:r>
      <w:r w:rsidRPr="00721FFD">
        <w:rPr>
          <w:rFonts w:cs="Times New Roman"/>
        </w:rPr>
        <w:t>;</w:t>
      </w:r>
      <w:r>
        <w:rPr>
          <w:rFonts w:cs="Times New Roman"/>
        </w:rPr>
        <w:t xml:space="preserve"> </w:t>
      </w:r>
    </w:p>
    <w:p w14:paraId="129689E7" w14:textId="3D576E03" w:rsidR="007F4AAF" w:rsidRPr="007F4AAF" w:rsidRDefault="007F4AAF" w:rsidP="007F4A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 xml:space="preserve">monitoring </w:t>
      </w:r>
      <w:r>
        <w:rPr>
          <w:rFonts w:cs="Times New Roman"/>
        </w:rPr>
        <w:t>GPRs</w:t>
      </w:r>
      <w:r w:rsidRPr="00721FFD">
        <w:rPr>
          <w:rFonts w:cs="Times New Roman"/>
        </w:rPr>
        <w:t xml:space="preserve"> </w:t>
      </w:r>
      <w:r w:rsidR="00246DF8">
        <w:rPr>
          <w:rFonts w:cs="Times New Roman"/>
        </w:rPr>
        <w:t>on an annual basis;</w:t>
      </w:r>
    </w:p>
    <w:p w14:paraId="34351233" w14:textId="5E242E52" w:rsidR="000B2355" w:rsidRPr="000B2355" w:rsidRDefault="000B2355" w:rsidP="000B23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1FFD">
        <w:rPr>
          <w:rFonts w:cs="Times New Roman"/>
        </w:rPr>
        <w:t>maintaining financial records in accordance with the policies and procedures of the University</w:t>
      </w:r>
      <w:r>
        <w:rPr>
          <w:rFonts w:cs="Times New Roman"/>
        </w:rPr>
        <w:t>; and</w:t>
      </w:r>
    </w:p>
    <w:p w14:paraId="7307F99A" w14:textId="25A50FD0" w:rsidR="00504058" w:rsidRPr="007F4AAF" w:rsidRDefault="000B2355" w:rsidP="007F4A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closing</w:t>
      </w:r>
      <w:proofErr w:type="gramEnd"/>
      <w:r>
        <w:rPr>
          <w:rFonts w:cs="Times New Roman"/>
        </w:rPr>
        <w:t xml:space="preserve"> GPRs, </w:t>
      </w:r>
      <w:r w:rsidR="00121B7C">
        <w:rPr>
          <w:rFonts w:cs="Times New Roman"/>
        </w:rPr>
        <w:t>in collaboration with the Administering Unit</w:t>
      </w:r>
      <w:r>
        <w:rPr>
          <w:rFonts w:cs="Times New Roman"/>
        </w:rPr>
        <w:t xml:space="preserve">.  </w:t>
      </w:r>
    </w:p>
    <w:p w14:paraId="5FD36E3B" w14:textId="77777777" w:rsidR="00E445B3" w:rsidRDefault="00E445B3" w:rsidP="00D73229"/>
    <w:p w14:paraId="4D43084B" w14:textId="328628AE" w:rsidR="00F5572F" w:rsidRPr="00721FFD" w:rsidRDefault="00DF5696" w:rsidP="00F5572F">
      <w:pPr>
        <w:pStyle w:val="ListParagraph"/>
        <w:numPr>
          <w:ilvl w:val="0"/>
          <w:numId w:val="1"/>
        </w:numPr>
      </w:pPr>
      <w:r w:rsidRPr="00721FFD">
        <w:t>ELIGIBLE EXPENSES</w:t>
      </w:r>
    </w:p>
    <w:p w14:paraId="1FA1FD5D" w14:textId="77777777" w:rsidR="00F5572F" w:rsidRDefault="00F5572F" w:rsidP="00F5572F">
      <w:pPr>
        <w:pStyle w:val="ListParagraph"/>
        <w:ind w:left="375"/>
      </w:pPr>
      <w:r w:rsidRPr="00721FFD">
        <w:t xml:space="preserve">To be considered eligible, any expenditure charged to a </w:t>
      </w:r>
      <w:r w:rsidR="004E7D48">
        <w:t>GPR</w:t>
      </w:r>
      <w:r w:rsidRPr="00721FFD">
        <w:t xml:space="preserve"> must be </w:t>
      </w:r>
      <w:r w:rsidR="00590CD2">
        <w:t>managed</w:t>
      </w:r>
      <w:r w:rsidRPr="00721FFD">
        <w:t xml:space="preserve"> </w:t>
      </w:r>
      <w:r w:rsidR="00590CD2">
        <w:t>within</w:t>
      </w:r>
      <w:r w:rsidRPr="00721FFD">
        <w:t xml:space="preserve"> University </w:t>
      </w:r>
      <w:r w:rsidR="00590CD2">
        <w:t xml:space="preserve">research administration </w:t>
      </w:r>
      <w:r w:rsidRPr="00721FFD">
        <w:t xml:space="preserve">policy and </w:t>
      </w:r>
      <w:r w:rsidR="00E66B51">
        <w:t>procedures</w:t>
      </w:r>
      <w:r w:rsidR="00E66B51" w:rsidRPr="00721FFD">
        <w:t xml:space="preserve"> </w:t>
      </w:r>
      <w:r w:rsidR="00121B7C">
        <w:t>related to research activities.</w:t>
      </w:r>
    </w:p>
    <w:p w14:paraId="2481A3A4" w14:textId="32DD357E" w:rsidR="00590CD2" w:rsidRDefault="00590CD2" w:rsidP="00F5572F">
      <w:pPr>
        <w:pStyle w:val="ListParagraph"/>
        <w:ind w:left="375"/>
      </w:pPr>
    </w:p>
    <w:p w14:paraId="6B59F0C5" w14:textId="77777777" w:rsidR="00D73229" w:rsidRPr="00721FFD" w:rsidRDefault="00D73229" w:rsidP="00F5572F">
      <w:pPr>
        <w:pStyle w:val="ListParagraph"/>
        <w:ind w:left="375"/>
      </w:pPr>
    </w:p>
    <w:p w14:paraId="1C6F8FAA" w14:textId="77777777" w:rsidR="00F5572F" w:rsidRPr="00721FFD" w:rsidRDefault="00F5572F" w:rsidP="00F5572F">
      <w:pPr>
        <w:pStyle w:val="ListParagraph"/>
        <w:ind w:left="375"/>
      </w:pPr>
      <w:r w:rsidRPr="00721FFD">
        <w:lastRenderedPageBreak/>
        <w:t xml:space="preserve">Examples of </w:t>
      </w:r>
      <w:r w:rsidR="00E66B51">
        <w:t>e</w:t>
      </w:r>
      <w:r w:rsidRPr="00721FFD">
        <w:t>ligible expenses:</w:t>
      </w:r>
    </w:p>
    <w:p w14:paraId="7EE7325D" w14:textId="365961C1" w:rsidR="00F5572F" w:rsidRPr="00E6159C" w:rsidRDefault="00F5572F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 xml:space="preserve">Travel to meetings </w:t>
      </w:r>
      <w:r w:rsidR="00DF5696" w:rsidRPr="00721FFD">
        <w:rPr>
          <w:rFonts w:eastAsia="Times New Roman" w:cs="Arial"/>
          <w:color w:val="000000"/>
          <w:lang w:val="en"/>
        </w:rPr>
        <w:t>and conference</w:t>
      </w:r>
      <w:r w:rsidR="00C33041">
        <w:rPr>
          <w:rFonts w:eastAsia="Times New Roman" w:cs="Arial"/>
          <w:color w:val="000000"/>
          <w:lang w:val="en"/>
        </w:rPr>
        <w:t>s</w:t>
      </w:r>
      <w:r w:rsidR="00DF5696" w:rsidRPr="00721FFD">
        <w:rPr>
          <w:rFonts w:eastAsia="Times New Roman" w:cs="Arial"/>
          <w:color w:val="000000"/>
          <w:lang w:val="en"/>
        </w:rPr>
        <w:t xml:space="preserve"> related to </w:t>
      </w:r>
      <w:r w:rsidRPr="00721FFD">
        <w:rPr>
          <w:rFonts w:eastAsia="Times New Roman" w:cs="Arial"/>
          <w:color w:val="000000"/>
          <w:lang w:val="en"/>
        </w:rPr>
        <w:t>research activities</w:t>
      </w:r>
    </w:p>
    <w:p w14:paraId="1E080B7F" w14:textId="35ADCD92" w:rsidR="00C33041" w:rsidRPr="00721FFD" w:rsidRDefault="00C33041" w:rsidP="00F5572F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  <w:lang w:val="en"/>
        </w:rPr>
        <w:t>meeting/conference expenses such as posters</w:t>
      </w:r>
    </w:p>
    <w:p w14:paraId="0684102D" w14:textId="485C527D" w:rsidR="00F5572F" w:rsidRPr="0035284D" w:rsidRDefault="00DF5696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>Student</w:t>
      </w:r>
      <w:r w:rsidR="00DB0070">
        <w:rPr>
          <w:rFonts w:eastAsia="Times New Roman" w:cs="Arial"/>
          <w:color w:val="000000"/>
          <w:lang w:val="en"/>
        </w:rPr>
        <w:t>, Post doc,</w:t>
      </w:r>
      <w:r w:rsidRPr="00721FFD">
        <w:rPr>
          <w:rFonts w:eastAsia="Times New Roman" w:cs="Arial"/>
          <w:color w:val="000000"/>
          <w:lang w:val="en"/>
        </w:rPr>
        <w:t xml:space="preserve"> and research assistant</w:t>
      </w:r>
      <w:r w:rsidR="00C33041">
        <w:rPr>
          <w:rFonts w:eastAsia="Times New Roman" w:cs="Arial"/>
          <w:color w:val="000000"/>
          <w:lang w:val="en"/>
        </w:rPr>
        <w:t>/associate</w:t>
      </w:r>
      <w:r w:rsidR="00F5572F" w:rsidRPr="00721FFD">
        <w:rPr>
          <w:rFonts w:eastAsia="Times New Roman" w:cs="Arial"/>
          <w:color w:val="000000"/>
          <w:lang w:val="en"/>
        </w:rPr>
        <w:t xml:space="preserve"> salaries</w:t>
      </w:r>
    </w:p>
    <w:p w14:paraId="54218820" w14:textId="135933BB" w:rsidR="00175E13" w:rsidRDefault="00175E13" w:rsidP="00F5572F">
      <w:pPr>
        <w:pStyle w:val="ListParagraph"/>
        <w:numPr>
          <w:ilvl w:val="0"/>
          <w:numId w:val="4"/>
        </w:numPr>
      </w:pPr>
      <w:r>
        <w:t>Research proposal development costs</w:t>
      </w:r>
    </w:p>
    <w:p w14:paraId="5BCBF03F" w14:textId="7F27859F" w:rsidR="00175E13" w:rsidRPr="00721FFD" w:rsidRDefault="00175E13" w:rsidP="00F5572F">
      <w:pPr>
        <w:pStyle w:val="ListParagraph"/>
        <w:numPr>
          <w:ilvl w:val="0"/>
          <w:numId w:val="4"/>
        </w:numPr>
      </w:pPr>
      <w:r>
        <w:t>Research project management costs</w:t>
      </w:r>
    </w:p>
    <w:p w14:paraId="136D4187" w14:textId="77777777" w:rsidR="00F5572F" w:rsidRPr="00721FFD" w:rsidRDefault="00F5572F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 xml:space="preserve">Subscriptions to </w:t>
      </w:r>
      <w:r w:rsidR="00DF5696" w:rsidRPr="00721FFD">
        <w:rPr>
          <w:rFonts w:eastAsia="Times New Roman" w:cs="Arial"/>
          <w:color w:val="000000"/>
          <w:lang w:val="en"/>
        </w:rPr>
        <w:t>research</w:t>
      </w:r>
      <w:r w:rsidRPr="00721FFD">
        <w:rPr>
          <w:rFonts w:eastAsia="Times New Roman" w:cs="Arial"/>
          <w:color w:val="000000"/>
          <w:lang w:val="en"/>
        </w:rPr>
        <w:t xml:space="preserve"> periodicals</w:t>
      </w:r>
    </w:p>
    <w:p w14:paraId="61778DD7" w14:textId="77777777" w:rsidR="00F5572F" w:rsidRPr="00721FFD" w:rsidRDefault="00F5572F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 xml:space="preserve">Memberships in </w:t>
      </w:r>
      <w:r w:rsidR="00DF5696" w:rsidRPr="00721FFD">
        <w:rPr>
          <w:rFonts w:eastAsia="Times New Roman" w:cs="Arial"/>
          <w:color w:val="000000"/>
          <w:lang w:val="en"/>
        </w:rPr>
        <w:t>research</w:t>
      </w:r>
      <w:r w:rsidRPr="00721FFD">
        <w:rPr>
          <w:rFonts w:eastAsia="Times New Roman" w:cs="Arial"/>
          <w:color w:val="000000"/>
          <w:lang w:val="en"/>
        </w:rPr>
        <w:t xml:space="preserve"> organizations</w:t>
      </w:r>
    </w:p>
    <w:p w14:paraId="42895AFB" w14:textId="77777777" w:rsidR="00F5572F" w:rsidRPr="00721FFD" w:rsidRDefault="00F5572F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>Reference books</w:t>
      </w:r>
    </w:p>
    <w:p w14:paraId="2A741BE9" w14:textId="6CEC57A2" w:rsidR="00F5572F" w:rsidRPr="00721FFD" w:rsidRDefault="00F5572F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>Journal submission fees</w:t>
      </w:r>
      <w:r w:rsidR="00175E13">
        <w:rPr>
          <w:rFonts w:eastAsia="Times New Roman" w:cs="Arial"/>
          <w:color w:val="000000"/>
          <w:lang w:val="en"/>
        </w:rPr>
        <w:t xml:space="preserve"> and costs associated with open access</w:t>
      </w:r>
    </w:p>
    <w:p w14:paraId="435F937C" w14:textId="11E664C4" w:rsidR="00F5572F" w:rsidRPr="00721FFD" w:rsidRDefault="00F5572F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 xml:space="preserve">Specialized software, </w:t>
      </w:r>
      <w:r w:rsidR="00285909">
        <w:rPr>
          <w:rFonts w:eastAsia="Times New Roman" w:cs="Arial"/>
          <w:color w:val="000000"/>
          <w:lang w:val="en"/>
        </w:rPr>
        <w:t xml:space="preserve">subvention fees, </w:t>
      </w:r>
      <w:r w:rsidRPr="00721FFD">
        <w:rPr>
          <w:rFonts w:eastAsia="Times New Roman" w:cs="Arial"/>
          <w:color w:val="000000"/>
          <w:lang w:val="en"/>
        </w:rPr>
        <w:t xml:space="preserve">other than that routinely provided by the University, </w:t>
      </w:r>
      <w:r w:rsidR="00DF5696" w:rsidRPr="00721FFD">
        <w:rPr>
          <w:rFonts w:eastAsia="Times New Roman" w:cs="Arial"/>
          <w:color w:val="000000"/>
          <w:lang w:val="en"/>
        </w:rPr>
        <w:t>used for</w:t>
      </w:r>
      <w:r w:rsidRPr="00721FFD">
        <w:rPr>
          <w:rFonts w:eastAsia="Times New Roman" w:cs="Arial"/>
          <w:color w:val="000000"/>
          <w:lang w:val="en"/>
        </w:rPr>
        <w:t xml:space="preserve"> research</w:t>
      </w:r>
    </w:p>
    <w:p w14:paraId="44A9CDB8" w14:textId="77777777" w:rsidR="00F5572F" w:rsidRPr="00721FFD" w:rsidRDefault="00DF5696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>Research</w:t>
      </w:r>
      <w:r w:rsidR="00F5572F" w:rsidRPr="00721FFD">
        <w:rPr>
          <w:rFonts w:eastAsia="Times New Roman" w:cs="Arial"/>
          <w:color w:val="000000"/>
          <w:lang w:val="en"/>
        </w:rPr>
        <w:t xml:space="preserve">-related postal or shipping charges </w:t>
      </w:r>
    </w:p>
    <w:p w14:paraId="4145E53C" w14:textId="7F4C9151" w:rsidR="00F5572F" w:rsidRPr="00721FFD" w:rsidRDefault="00F5572F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>Computer peripherals</w:t>
      </w:r>
      <w:r w:rsidR="000F221D">
        <w:rPr>
          <w:rFonts w:eastAsia="Times New Roman" w:cs="Arial"/>
          <w:color w:val="000000"/>
          <w:lang w:val="en"/>
        </w:rPr>
        <w:t xml:space="preserve"> required for research purposes which are</w:t>
      </w:r>
      <w:r w:rsidRPr="00721FFD">
        <w:rPr>
          <w:rFonts w:eastAsia="Times New Roman" w:cs="Arial"/>
          <w:color w:val="000000"/>
          <w:lang w:val="en"/>
        </w:rPr>
        <w:t xml:space="preserve"> compatible with existing equipment and systems, and with installment and maintenance requirements verified through </w:t>
      </w:r>
      <w:r w:rsidR="0029318C">
        <w:rPr>
          <w:rFonts w:eastAsia="Times New Roman" w:cs="Arial"/>
          <w:color w:val="000000"/>
          <w:lang w:val="en"/>
        </w:rPr>
        <w:t>CCS</w:t>
      </w:r>
      <w:r w:rsidR="0096496D" w:rsidRPr="00721FFD">
        <w:rPr>
          <w:rFonts w:eastAsia="Times New Roman" w:cs="Arial"/>
          <w:color w:val="000000"/>
          <w:lang w:val="en"/>
        </w:rPr>
        <w:t xml:space="preserve"> </w:t>
      </w:r>
    </w:p>
    <w:p w14:paraId="3177FD06" w14:textId="2FA7BEDE" w:rsidR="00F5572F" w:rsidRPr="00285909" w:rsidRDefault="00175E13" w:rsidP="00F5572F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  <w:lang w:val="en"/>
        </w:rPr>
        <w:t>Research data</w:t>
      </w:r>
      <w:r w:rsidR="00F5572F" w:rsidRPr="00721FFD">
        <w:rPr>
          <w:rFonts w:eastAsia="Times New Roman" w:cs="Arial"/>
          <w:color w:val="000000"/>
          <w:lang w:val="en"/>
        </w:rPr>
        <w:t xml:space="preserve"> collection</w:t>
      </w:r>
      <w:r>
        <w:rPr>
          <w:rFonts w:eastAsia="Times New Roman" w:cs="Arial"/>
          <w:color w:val="000000"/>
          <w:lang w:val="en"/>
        </w:rPr>
        <w:t xml:space="preserve"> plan</w:t>
      </w:r>
      <w:r w:rsidR="00F5572F" w:rsidRPr="00721FFD">
        <w:rPr>
          <w:rFonts w:eastAsia="Times New Roman" w:cs="Arial"/>
          <w:color w:val="000000"/>
          <w:lang w:val="en"/>
        </w:rPr>
        <w:t xml:space="preserve"> costs</w:t>
      </w:r>
    </w:p>
    <w:p w14:paraId="63329AEE" w14:textId="4EB47F54" w:rsidR="00F5572F" w:rsidRPr="00285909" w:rsidRDefault="00F5572F" w:rsidP="00F5572F">
      <w:pPr>
        <w:pStyle w:val="ListParagraph"/>
        <w:numPr>
          <w:ilvl w:val="0"/>
          <w:numId w:val="4"/>
        </w:numPr>
      </w:pPr>
      <w:r w:rsidRPr="00721FFD">
        <w:rPr>
          <w:rFonts w:eastAsia="Times New Roman" w:cs="Arial"/>
          <w:color w:val="000000"/>
          <w:lang w:val="en"/>
        </w:rPr>
        <w:t>Professional license or certification fees</w:t>
      </w:r>
    </w:p>
    <w:p w14:paraId="7D85A855" w14:textId="5152083D" w:rsidR="00285909" w:rsidRDefault="00285909" w:rsidP="00F5572F">
      <w:pPr>
        <w:pStyle w:val="ListParagraph"/>
        <w:numPr>
          <w:ilvl w:val="0"/>
          <w:numId w:val="4"/>
        </w:numPr>
      </w:pPr>
      <w:r>
        <w:t xml:space="preserve">Office supplies </w:t>
      </w:r>
      <w:r w:rsidR="00175E13">
        <w:t xml:space="preserve">for </w:t>
      </w:r>
      <w:r>
        <w:t>research project</w:t>
      </w:r>
      <w:r w:rsidR="00175E13">
        <w:t>s</w:t>
      </w:r>
    </w:p>
    <w:p w14:paraId="276E8ECE" w14:textId="6F43978A" w:rsidR="00F5572F" w:rsidRDefault="00242B56" w:rsidP="00E445B3">
      <w:pPr>
        <w:pStyle w:val="ListParagraph"/>
        <w:numPr>
          <w:ilvl w:val="0"/>
          <w:numId w:val="4"/>
        </w:numPr>
      </w:pPr>
      <w:r>
        <w:t>Matching funding</w:t>
      </w:r>
      <w:r w:rsidR="00C33041">
        <w:t xml:space="preserve"> for another contract or </w:t>
      </w:r>
      <w:r w:rsidR="00D73229">
        <w:t>award, as</w:t>
      </w:r>
      <w:r>
        <w:t xml:space="preserve"> per contract or award</w:t>
      </w:r>
      <w:r w:rsidR="00C33041">
        <w:t xml:space="preserve"> agreement</w:t>
      </w:r>
    </w:p>
    <w:p w14:paraId="32D80146" w14:textId="77777777" w:rsidR="00E445B3" w:rsidRPr="00721FFD" w:rsidRDefault="00E445B3" w:rsidP="00E445B3">
      <w:pPr>
        <w:pStyle w:val="ListParagraph"/>
        <w:ind w:left="1095"/>
      </w:pPr>
    </w:p>
    <w:p w14:paraId="57692F5B" w14:textId="77777777" w:rsidR="00F5572F" w:rsidRPr="00721FFD" w:rsidRDefault="00DF5696" w:rsidP="00DF5696">
      <w:pPr>
        <w:pStyle w:val="ListParagraph"/>
        <w:numPr>
          <w:ilvl w:val="0"/>
          <w:numId w:val="1"/>
        </w:numPr>
      </w:pPr>
      <w:r w:rsidRPr="00721FFD">
        <w:t>INELIGIBLE EXPENSES</w:t>
      </w:r>
    </w:p>
    <w:p w14:paraId="794A8A93" w14:textId="77777777" w:rsidR="00DF5696" w:rsidRPr="00721FFD" w:rsidRDefault="0096496D" w:rsidP="00DF5696">
      <w:pPr>
        <w:pStyle w:val="ListParagraph"/>
        <w:ind w:left="375"/>
      </w:pPr>
      <w:r w:rsidRPr="00721FFD">
        <w:t xml:space="preserve">Funds in </w:t>
      </w:r>
      <w:r w:rsidR="004E7D48">
        <w:t>GPRs</w:t>
      </w:r>
      <w:r w:rsidRPr="00721FFD">
        <w:t xml:space="preserve"> may not be used for purposes other than research and scholarly activities.  </w:t>
      </w:r>
      <w:r w:rsidR="004E7D48">
        <w:t>GPRs</w:t>
      </w:r>
      <w:r w:rsidR="00DF5696" w:rsidRPr="00721FFD">
        <w:t xml:space="preserve"> are not intended to supplement the salary of the faculty member to whom such funds have been awarded.  Personal expenses of any kind are not eligible for reimbursement through </w:t>
      </w:r>
      <w:r w:rsidR="004E7D48">
        <w:t>GPRs</w:t>
      </w:r>
      <w:r w:rsidR="00DF5696" w:rsidRPr="00721FFD">
        <w:t xml:space="preserve">.  </w:t>
      </w:r>
    </w:p>
    <w:p w14:paraId="3BB32569" w14:textId="77777777" w:rsidR="00DF5696" w:rsidRPr="00721FFD" w:rsidRDefault="00DF5696" w:rsidP="00DF5696">
      <w:pPr>
        <w:pStyle w:val="ListParagraph"/>
        <w:ind w:left="375"/>
      </w:pPr>
      <w:r w:rsidRPr="00721FFD">
        <w:t>Examples of ineligible expenses:</w:t>
      </w:r>
    </w:p>
    <w:p w14:paraId="62AEF84C" w14:textId="7DD0498E" w:rsidR="00DF5696" w:rsidRPr="00721FFD" w:rsidRDefault="00DF5696" w:rsidP="00DF5696">
      <w:pPr>
        <w:pStyle w:val="ListParagraph"/>
        <w:numPr>
          <w:ilvl w:val="0"/>
          <w:numId w:val="6"/>
        </w:numPr>
      </w:pPr>
      <w:r w:rsidRPr="00721FFD">
        <w:rPr>
          <w:rFonts w:eastAsia="Times New Roman" w:cs="Arial"/>
          <w:color w:val="000000"/>
          <w:lang w:val="en"/>
        </w:rPr>
        <w:t>Home office costs such as furniture</w:t>
      </w:r>
      <w:r w:rsidR="000F221D">
        <w:rPr>
          <w:rFonts w:eastAsia="Times New Roman" w:cs="Arial"/>
          <w:color w:val="000000"/>
          <w:lang w:val="en"/>
        </w:rPr>
        <w:t>,</w:t>
      </w:r>
      <w:r w:rsidRPr="00721FFD">
        <w:rPr>
          <w:rFonts w:eastAsia="Times New Roman" w:cs="Arial"/>
          <w:color w:val="000000"/>
          <w:lang w:val="en"/>
        </w:rPr>
        <w:t xml:space="preserve"> equipment,</w:t>
      </w:r>
      <w:r w:rsidR="00285909">
        <w:rPr>
          <w:rFonts w:eastAsia="Times New Roman" w:cs="Arial"/>
          <w:color w:val="000000"/>
          <w:lang w:val="en"/>
        </w:rPr>
        <w:t xml:space="preserve"> m</w:t>
      </w:r>
      <w:r w:rsidRPr="00721FFD">
        <w:rPr>
          <w:rFonts w:eastAsia="Times New Roman" w:cs="Arial"/>
          <w:color w:val="000000"/>
          <w:lang w:val="en"/>
        </w:rPr>
        <w:t xml:space="preserve">aintenance </w:t>
      </w:r>
      <w:r w:rsidR="004E7D48" w:rsidRPr="00721FFD">
        <w:rPr>
          <w:rFonts w:eastAsia="Times New Roman" w:cs="Arial"/>
          <w:color w:val="000000"/>
          <w:lang w:val="en"/>
        </w:rPr>
        <w:t>expenses</w:t>
      </w:r>
      <w:r w:rsidR="004E7D48">
        <w:rPr>
          <w:rFonts w:eastAsia="Times New Roman" w:cs="Arial"/>
          <w:color w:val="000000"/>
          <w:lang w:val="en"/>
        </w:rPr>
        <w:t xml:space="preserve"> or</w:t>
      </w:r>
      <w:r w:rsidRPr="00721FFD">
        <w:rPr>
          <w:rFonts w:eastAsia="Times New Roman" w:cs="Arial"/>
          <w:color w:val="000000"/>
          <w:lang w:val="en"/>
        </w:rPr>
        <w:t xml:space="preserve"> supplies</w:t>
      </w:r>
    </w:p>
    <w:p w14:paraId="3D84022A" w14:textId="79B8BCF6" w:rsidR="00DF5696" w:rsidRPr="0069351B" w:rsidRDefault="00DF5696" w:rsidP="007404CE">
      <w:pPr>
        <w:pStyle w:val="ListParagraph"/>
        <w:numPr>
          <w:ilvl w:val="0"/>
          <w:numId w:val="6"/>
        </w:numPr>
      </w:pPr>
      <w:r w:rsidRPr="00721FFD">
        <w:rPr>
          <w:rFonts w:eastAsia="Times New Roman" w:cs="Arial"/>
          <w:color w:val="000000"/>
          <w:lang w:val="en"/>
        </w:rPr>
        <w:t xml:space="preserve">Cell phone, </w:t>
      </w:r>
      <w:r w:rsidR="00E66B51">
        <w:rPr>
          <w:rFonts w:eastAsia="Times New Roman" w:cs="Arial"/>
          <w:color w:val="000000"/>
          <w:lang w:val="en"/>
        </w:rPr>
        <w:t>i</w:t>
      </w:r>
      <w:r w:rsidRPr="00721FFD">
        <w:rPr>
          <w:rFonts w:eastAsia="Times New Roman" w:cs="Arial"/>
          <w:color w:val="000000"/>
          <w:lang w:val="en"/>
        </w:rPr>
        <w:t xml:space="preserve">nternet </w:t>
      </w:r>
      <w:r w:rsidR="000F221D">
        <w:rPr>
          <w:rFonts w:eastAsia="Times New Roman" w:cs="Arial"/>
          <w:color w:val="000000"/>
          <w:lang w:val="en"/>
        </w:rPr>
        <w:t>or</w:t>
      </w:r>
      <w:r w:rsidRPr="00721FFD">
        <w:rPr>
          <w:rFonts w:eastAsia="Times New Roman" w:cs="Arial"/>
          <w:color w:val="000000"/>
          <w:lang w:val="en"/>
        </w:rPr>
        <w:t xml:space="preserve"> telephone charges unless approved by the Administering Unit as necessary for job performance </w:t>
      </w:r>
    </w:p>
    <w:p w14:paraId="6BAE755D" w14:textId="2BE87048" w:rsidR="00285909" w:rsidRPr="00721FFD" w:rsidRDefault="0069351B" w:rsidP="00285909">
      <w:pPr>
        <w:pStyle w:val="ListParagraph"/>
        <w:numPr>
          <w:ilvl w:val="0"/>
          <w:numId w:val="6"/>
        </w:numPr>
      </w:pPr>
      <w:r>
        <w:t xml:space="preserve">Expenses related to personal consulting </w:t>
      </w:r>
    </w:p>
    <w:p w14:paraId="7DC9AC87" w14:textId="77777777" w:rsidR="00DF5696" w:rsidRPr="00721FFD" w:rsidRDefault="00DF5696" w:rsidP="00DF5696">
      <w:pPr>
        <w:pStyle w:val="ListParagraph"/>
        <w:numPr>
          <w:ilvl w:val="0"/>
          <w:numId w:val="6"/>
        </w:numPr>
      </w:pPr>
      <w:r w:rsidRPr="00721FFD">
        <w:rPr>
          <w:rFonts w:eastAsia="Times New Roman" w:cs="Arial"/>
          <w:color w:val="000000"/>
          <w:lang w:val="en"/>
        </w:rPr>
        <w:t>Memberships in social clubs or airline travel clubs</w:t>
      </w:r>
    </w:p>
    <w:p w14:paraId="3CECA8C9" w14:textId="4BFED412" w:rsidR="00DF5696" w:rsidRPr="00721FFD" w:rsidRDefault="00DF5696" w:rsidP="00DF5696">
      <w:pPr>
        <w:pStyle w:val="ListParagraph"/>
        <w:numPr>
          <w:ilvl w:val="0"/>
          <w:numId w:val="6"/>
        </w:numPr>
      </w:pPr>
      <w:r w:rsidRPr="00721FFD">
        <w:rPr>
          <w:rFonts w:eastAsia="Times New Roman" w:cs="Arial"/>
          <w:color w:val="000000"/>
          <w:lang w:val="en"/>
        </w:rPr>
        <w:t xml:space="preserve">Wages paid to </w:t>
      </w:r>
      <w:r w:rsidR="007404CE">
        <w:rPr>
          <w:rFonts w:eastAsia="Times New Roman" w:cs="Arial"/>
          <w:color w:val="000000"/>
          <w:lang w:val="en"/>
        </w:rPr>
        <w:t>grant holder</w:t>
      </w:r>
      <w:r w:rsidR="00C33041">
        <w:rPr>
          <w:rFonts w:eastAsia="Times New Roman" w:cs="Arial"/>
          <w:color w:val="000000"/>
          <w:lang w:val="en"/>
        </w:rPr>
        <w:t>/</w:t>
      </w:r>
      <w:r w:rsidR="00246DF8">
        <w:rPr>
          <w:rFonts w:eastAsia="Times New Roman" w:cs="Arial"/>
          <w:color w:val="000000"/>
          <w:lang w:val="en"/>
        </w:rPr>
        <w:t>researcher</w:t>
      </w:r>
      <w:r w:rsidR="00C33041">
        <w:rPr>
          <w:rFonts w:eastAsia="Times New Roman" w:cs="Arial"/>
          <w:color w:val="000000"/>
          <w:lang w:val="en"/>
        </w:rPr>
        <w:t xml:space="preserve"> including</w:t>
      </w:r>
      <w:r w:rsidRPr="00721FFD">
        <w:rPr>
          <w:rFonts w:eastAsia="Times New Roman" w:cs="Arial"/>
          <w:color w:val="000000"/>
          <w:lang w:val="en"/>
        </w:rPr>
        <w:t xml:space="preserve"> </w:t>
      </w:r>
      <w:r w:rsidR="007404CE">
        <w:rPr>
          <w:rFonts w:eastAsia="Times New Roman" w:cs="Arial"/>
          <w:color w:val="000000"/>
          <w:lang w:val="en"/>
        </w:rPr>
        <w:t>prior to, or following</w:t>
      </w:r>
      <w:r w:rsidR="00C33041">
        <w:rPr>
          <w:rFonts w:eastAsia="Times New Roman" w:cs="Arial"/>
          <w:color w:val="000000"/>
          <w:lang w:val="en"/>
        </w:rPr>
        <w:t>,</w:t>
      </w:r>
      <w:r w:rsidR="007404CE">
        <w:rPr>
          <w:rFonts w:eastAsia="Times New Roman" w:cs="Arial"/>
          <w:color w:val="000000"/>
          <w:lang w:val="en"/>
        </w:rPr>
        <w:t xml:space="preserve"> retirement</w:t>
      </w:r>
      <w:r w:rsidRPr="00721FFD">
        <w:rPr>
          <w:rFonts w:eastAsia="Times New Roman" w:cs="Arial"/>
          <w:color w:val="000000"/>
          <w:lang w:val="en"/>
        </w:rPr>
        <w:t xml:space="preserve"> </w:t>
      </w:r>
    </w:p>
    <w:p w14:paraId="5E13F6AB" w14:textId="77777777" w:rsidR="00DF5696" w:rsidRPr="00721FFD" w:rsidRDefault="00DF5696" w:rsidP="00DF5696">
      <w:pPr>
        <w:pStyle w:val="ListParagraph"/>
        <w:ind w:left="375"/>
      </w:pPr>
    </w:p>
    <w:p w14:paraId="3EEADB2F" w14:textId="0A1A8704" w:rsidR="0096496D" w:rsidRPr="00721FFD" w:rsidRDefault="0096496D" w:rsidP="0096496D">
      <w:pPr>
        <w:pStyle w:val="ListParagraph"/>
        <w:numPr>
          <w:ilvl w:val="0"/>
          <w:numId w:val="1"/>
        </w:numPr>
      </w:pPr>
      <w:r w:rsidRPr="00721FFD">
        <w:t>DISPOSITION OF FUNDING AFTER RESIGNATION</w:t>
      </w:r>
      <w:r w:rsidR="00C33041">
        <w:t xml:space="preserve">, </w:t>
      </w:r>
      <w:r w:rsidRPr="00721FFD">
        <w:t>RETIREMENT</w:t>
      </w:r>
      <w:r w:rsidR="00C33041">
        <w:t xml:space="preserve"> OR DEATH</w:t>
      </w:r>
    </w:p>
    <w:p w14:paraId="68994591" w14:textId="27655AD6" w:rsidR="00D73229" w:rsidRDefault="00E72890" w:rsidP="00D73229">
      <w:pPr>
        <w:pStyle w:val="ListParagraph"/>
        <w:ind w:left="375"/>
      </w:pPr>
      <w:r w:rsidRPr="00721FFD">
        <w:t xml:space="preserve">If </w:t>
      </w:r>
      <w:r w:rsidR="00C33041">
        <w:t xml:space="preserve">the </w:t>
      </w:r>
      <w:r w:rsidRPr="00721FFD">
        <w:t xml:space="preserve">faculty member will retain an eligible affiliation with the </w:t>
      </w:r>
      <w:r w:rsidR="00E66B51">
        <w:t>U</w:t>
      </w:r>
      <w:r w:rsidRPr="00721FFD">
        <w:t>niversity</w:t>
      </w:r>
      <w:r w:rsidR="00BC6FF9">
        <w:t xml:space="preserve"> upon resignation or retirement</w:t>
      </w:r>
      <w:r w:rsidRPr="00721FFD">
        <w:t xml:space="preserve">, they may continue to hold </w:t>
      </w:r>
      <w:r w:rsidR="000F221D">
        <w:t>a</w:t>
      </w:r>
      <w:r w:rsidR="000F221D" w:rsidRPr="00721FFD">
        <w:t xml:space="preserve"> </w:t>
      </w:r>
      <w:r w:rsidR="004E7D48">
        <w:t>GPR</w:t>
      </w:r>
      <w:r w:rsidRPr="00721FFD">
        <w:t xml:space="preserve">.  </w:t>
      </w:r>
      <w:r w:rsidR="00C33041">
        <w:t xml:space="preserve">Examples of eligible affiliation include Adjunct Professor, Professor Emeritus, </w:t>
      </w:r>
      <w:proofErr w:type="gramStart"/>
      <w:r w:rsidR="00C33041">
        <w:t>College</w:t>
      </w:r>
      <w:proofErr w:type="gramEnd"/>
      <w:r w:rsidR="00C33041">
        <w:t xml:space="preserve"> Professor Emeritus.  </w:t>
      </w:r>
      <w:r w:rsidRPr="00721FFD">
        <w:t xml:space="preserve">In cases where </w:t>
      </w:r>
      <w:r w:rsidR="00C33041">
        <w:t xml:space="preserve">the </w:t>
      </w:r>
      <w:r w:rsidRPr="00721FFD">
        <w:t>faculty member no longer hold</w:t>
      </w:r>
      <w:r w:rsidR="00C33041">
        <w:t>s</w:t>
      </w:r>
      <w:r w:rsidRPr="00721FFD">
        <w:t xml:space="preserve"> an eligible appointment with the </w:t>
      </w:r>
      <w:r w:rsidR="00E66B51">
        <w:t>U</w:t>
      </w:r>
      <w:r w:rsidRPr="00721FFD">
        <w:t>niversity</w:t>
      </w:r>
      <w:r w:rsidR="00467808">
        <w:t xml:space="preserve"> or in the event of death of the faculty member</w:t>
      </w:r>
      <w:r w:rsidRPr="00721FFD">
        <w:t xml:space="preserve">, any residual </w:t>
      </w:r>
      <w:r w:rsidR="004E7D48">
        <w:t>GPR</w:t>
      </w:r>
      <w:r w:rsidRPr="00721FFD">
        <w:t xml:space="preserve"> funding will transfer to the</w:t>
      </w:r>
      <w:r w:rsidR="00BC6FF9">
        <w:t>ir respective</w:t>
      </w:r>
      <w:r w:rsidRPr="00721FFD">
        <w:t xml:space="preserve"> </w:t>
      </w:r>
      <w:r w:rsidR="00C33041">
        <w:t>C</w:t>
      </w:r>
      <w:r w:rsidRPr="00721FFD">
        <w:t>ollege for research purposes at the Dean</w:t>
      </w:r>
      <w:r w:rsidR="009B26B7">
        <w:t>’s</w:t>
      </w:r>
      <w:r w:rsidRPr="00721FFD">
        <w:t xml:space="preserve"> (or delegate</w:t>
      </w:r>
      <w:r w:rsidR="009B26B7">
        <w:t>’s</w:t>
      </w:r>
      <w:r w:rsidRPr="00721FFD">
        <w:t xml:space="preserve">) discretion.  </w:t>
      </w:r>
      <w:r w:rsidR="00467808">
        <w:t xml:space="preserve"> Any deficit balance will be the responsibility of the </w:t>
      </w:r>
      <w:r w:rsidR="00F3453D">
        <w:t>Administering Unit and/or respective College.</w:t>
      </w:r>
    </w:p>
    <w:p w14:paraId="5D54BB48" w14:textId="11A0C1C9" w:rsidR="00F3453D" w:rsidRPr="00721FFD" w:rsidRDefault="0026155B" w:rsidP="0026155B">
      <w:r>
        <w:t xml:space="preserve">For additional information, please contact Research Financial Services:  </w:t>
      </w:r>
      <w:hyperlink r:id="rId8" w:history="1">
        <w:r w:rsidRPr="00A130E6">
          <w:rPr>
            <w:rStyle w:val="Hyperlink"/>
          </w:rPr>
          <w:t>rfsacctsetup@uoguelph.ca</w:t>
        </w:r>
      </w:hyperlink>
      <w:r>
        <w:t xml:space="preserve"> </w:t>
      </w:r>
    </w:p>
    <w:sectPr w:rsidR="00F3453D" w:rsidRPr="00721F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6572" w14:textId="77777777" w:rsidR="00436AA9" w:rsidRDefault="00436AA9" w:rsidP="00EE1C51">
      <w:pPr>
        <w:spacing w:after="0" w:line="240" w:lineRule="auto"/>
      </w:pPr>
      <w:r>
        <w:separator/>
      </w:r>
    </w:p>
  </w:endnote>
  <w:endnote w:type="continuationSeparator" w:id="0">
    <w:p w14:paraId="2B0C4BCC" w14:textId="77777777" w:rsidR="00436AA9" w:rsidRDefault="00436AA9" w:rsidP="00EE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444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1A6FC9" w14:textId="4BB81D81" w:rsidR="00D73229" w:rsidRDefault="00D73229" w:rsidP="00D73229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FC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A1E70C" w14:textId="77D577FA" w:rsidR="00D73229" w:rsidRDefault="00D73229">
    <w:pPr>
      <w:pStyle w:val="Footer"/>
      <w:rPr>
        <w:sz w:val="18"/>
        <w:szCs w:val="18"/>
      </w:rPr>
    </w:pPr>
    <w:r>
      <w:rPr>
        <w:sz w:val="18"/>
        <w:szCs w:val="18"/>
      </w:rPr>
      <w:t>Last updated:  February 2019</w:t>
    </w:r>
  </w:p>
  <w:p w14:paraId="20FEB757" w14:textId="75DF952C" w:rsidR="00D73229" w:rsidRPr="00D73229" w:rsidRDefault="00D7322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9292E" w14:textId="77777777" w:rsidR="00436AA9" w:rsidRDefault="00436AA9" w:rsidP="00EE1C51">
      <w:pPr>
        <w:spacing w:after="0" w:line="240" w:lineRule="auto"/>
      </w:pPr>
      <w:r>
        <w:separator/>
      </w:r>
    </w:p>
  </w:footnote>
  <w:footnote w:type="continuationSeparator" w:id="0">
    <w:p w14:paraId="4F088711" w14:textId="77777777" w:rsidR="00436AA9" w:rsidRDefault="00436AA9" w:rsidP="00EE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D443" w14:textId="01EA149C" w:rsidR="00D73229" w:rsidRPr="00D73229" w:rsidRDefault="00D73229" w:rsidP="00D73229">
    <w:pPr>
      <w:spacing w:after="0" w:line="240" w:lineRule="auto"/>
      <w:rPr>
        <w:b/>
        <w:sz w:val="24"/>
        <w:szCs w:val="24"/>
      </w:rPr>
    </w:pPr>
    <w:r w:rsidRPr="00D73229">
      <w:rPr>
        <w:b/>
        <w:sz w:val="24"/>
        <w:szCs w:val="24"/>
      </w:rPr>
      <w:t>University of Guelph</w:t>
    </w:r>
  </w:p>
  <w:p w14:paraId="6A6DC99E" w14:textId="76BBF9CF" w:rsidR="00D73229" w:rsidRPr="00D73229" w:rsidRDefault="00D73229" w:rsidP="00D73229">
    <w:pPr>
      <w:spacing w:after="0" w:line="240" w:lineRule="auto"/>
      <w:rPr>
        <w:b/>
        <w:sz w:val="24"/>
        <w:szCs w:val="24"/>
      </w:rPr>
    </w:pPr>
    <w:r w:rsidRPr="00D73229">
      <w:rPr>
        <w:b/>
        <w:sz w:val="24"/>
        <w:szCs w:val="24"/>
      </w:rPr>
      <w:t>General Purpose Research Accounts</w:t>
    </w:r>
    <w:r>
      <w:rPr>
        <w:b/>
        <w:sz w:val="24"/>
        <w:szCs w:val="24"/>
      </w:rPr>
      <w:t xml:space="preserve"> - </w:t>
    </w:r>
    <w:r w:rsidRPr="00D73229">
      <w:rPr>
        <w:b/>
        <w:sz w:val="24"/>
        <w:szCs w:val="24"/>
      </w:rPr>
      <w:t>Guideline and Procedures</w:t>
    </w:r>
  </w:p>
  <w:p w14:paraId="524C0338" w14:textId="59F8F6E5" w:rsidR="00B3283D" w:rsidRDefault="00B32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7E9"/>
    <w:multiLevelType w:val="multilevel"/>
    <w:tmpl w:val="5E4C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41527"/>
    <w:multiLevelType w:val="hybridMultilevel"/>
    <w:tmpl w:val="867CA42E"/>
    <w:lvl w:ilvl="0" w:tplc="F796D8D2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44E2694"/>
    <w:multiLevelType w:val="hybridMultilevel"/>
    <w:tmpl w:val="51D6F34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9C67577"/>
    <w:multiLevelType w:val="hybridMultilevel"/>
    <w:tmpl w:val="2C0ACA0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B084596"/>
    <w:multiLevelType w:val="hybridMultilevel"/>
    <w:tmpl w:val="BD7CCAF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E4B6D15"/>
    <w:multiLevelType w:val="hybridMultilevel"/>
    <w:tmpl w:val="3FBEABB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84F19DC"/>
    <w:multiLevelType w:val="hybridMultilevel"/>
    <w:tmpl w:val="A1A23AAE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07B0F77"/>
    <w:multiLevelType w:val="hybridMultilevel"/>
    <w:tmpl w:val="14289F38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31D212BC"/>
    <w:multiLevelType w:val="multilevel"/>
    <w:tmpl w:val="E3F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A0E26"/>
    <w:multiLevelType w:val="hybridMultilevel"/>
    <w:tmpl w:val="CEAE90F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F5C7A8F"/>
    <w:multiLevelType w:val="hybridMultilevel"/>
    <w:tmpl w:val="3280E4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548071E7"/>
    <w:multiLevelType w:val="hybridMultilevel"/>
    <w:tmpl w:val="DC3A5524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7333460C"/>
    <w:multiLevelType w:val="multilevel"/>
    <w:tmpl w:val="F57C32AA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B007FA7"/>
    <w:multiLevelType w:val="multilevel"/>
    <w:tmpl w:val="1FE893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1021C"/>
    <w:multiLevelType w:val="hybridMultilevel"/>
    <w:tmpl w:val="5DBA17E0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2F"/>
    <w:rsid w:val="000019E9"/>
    <w:rsid w:val="000522E0"/>
    <w:rsid w:val="000B072A"/>
    <w:rsid w:val="000B2355"/>
    <w:rsid w:val="000C2E1E"/>
    <w:rsid w:val="000C43A3"/>
    <w:rsid w:val="000D27FB"/>
    <w:rsid w:val="000F221D"/>
    <w:rsid w:val="00121B7C"/>
    <w:rsid w:val="00175E13"/>
    <w:rsid w:val="001B079C"/>
    <w:rsid w:val="001F35AB"/>
    <w:rsid w:val="00242B56"/>
    <w:rsid w:val="00246DF8"/>
    <w:rsid w:val="0026143E"/>
    <w:rsid w:val="0026155B"/>
    <w:rsid w:val="00285909"/>
    <w:rsid w:val="0029318C"/>
    <w:rsid w:val="002A1877"/>
    <w:rsid w:val="002E179B"/>
    <w:rsid w:val="003003B7"/>
    <w:rsid w:val="003233BB"/>
    <w:rsid w:val="00342D9C"/>
    <w:rsid w:val="0035284D"/>
    <w:rsid w:val="0037795E"/>
    <w:rsid w:val="00377BF6"/>
    <w:rsid w:val="003A7D9B"/>
    <w:rsid w:val="003D6DE5"/>
    <w:rsid w:val="003E4DC3"/>
    <w:rsid w:val="004057B3"/>
    <w:rsid w:val="00417A81"/>
    <w:rsid w:val="00436AA9"/>
    <w:rsid w:val="00467808"/>
    <w:rsid w:val="004C706B"/>
    <w:rsid w:val="004D6259"/>
    <w:rsid w:val="004E0A66"/>
    <w:rsid w:val="004E7D48"/>
    <w:rsid w:val="00504058"/>
    <w:rsid w:val="00553547"/>
    <w:rsid w:val="00560963"/>
    <w:rsid w:val="00590CD2"/>
    <w:rsid w:val="005B1346"/>
    <w:rsid w:val="005D5CF7"/>
    <w:rsid w:val="006209C4"/>
    <w:rsid w:val="00687E8D"/>
    <w:rsid w:val="0069351B"/>
    <w:rsid w:val="006D3059"/>
    <w:rsid w:val="006D78A0"/>
    <w:rsid w:val="007075F5"/>
    <w:rsid w:val="00717915"/>
    <w:rsid w:val="00721FFD"/>
    <w:rsid w:val="007404CE"/>
    <w:rsid w:val="00742A6F"/>
    <w:rsid w:val="007878FD"/>
    <w:rsid w:val="007C0FBC"/>
    <w:rsid w:val="007C6100"/>
    <w:rsid w:val="007F4AAF"/>
    <w:rsid w:val="008235C4"/>
    <w:rsid w:val="00827DF7"/>
    <w:rsid w:val="00864DF8"/>
    <w:rsid w:val="008920EB"/>
    <w:rsid w:val="008A3BCB"/>
    <w:rsid w:val="008C223E"/>
    <w:rsid w:val="008C2A49"/>
    <w:rsid w:val="008C2FAB"/>
    <w:rsid w:val="008D034A"/>
    <w:rsid w:val="008F7DFF"/>
    <w:rsid w:val="00945482"/>
    <w:rsid w:val="0096163E"/>
    <w:rsid w:val="0096496D"/>
    <w:rsid w:val="009717FA"/>
    <w:rsid w:val="009751C5"/>
    <w:rsid w:val="0098640E"/>
    <w:rsid w:val="00991C2E"/>
    <w:rsid w:val="009B1C8B"/>
    <w:rsid w:val="009B26B7"/>
    <w:rsid w:val="009B333B"/>
    <w:rsid w:val="009C1317"/>
    <w:rsid w:val="009E6658"/>
    <w:rsid w:val="00A205E2"/>
    <w:rsid w:val="00A52BB6"/>
    <w:rsid w:val="00A5312C"/>
    <w:rsid w:val="00A97FC3"/>
    <w:rsid w:val="00AD15B5"/>
    <w:rsid w:val="00AF1504"/>
    <w:rsid w:val="00B02294"/>
    <w:rsid w:val="00B04A71"/>
    <w:rsid w:val="00B12B6C"/>
    <w:rsid w:val="00B3283D"/>
    <w:rsid w:val="00B32AFD"/>
    <w:rsid w:val="00B51D2B"/>
    <w:rsid w:val="00B84BE4"/>
    <w:rsid w:val="00BC6FF9"/>
    <w:rsid w:val="00BE67EB"/>
    <w:rsid w:val="00C06699"/>
    <w:rsid w:val="00C33041"/>
    <w:rsid w:val="00CA3C71"/>
    <w:rsid w:val="00D11A49"/>
    <w:rsid w:val="00D73229"/>
    <w:rsid w:val="00D976C3"/>
    <w:rsid w:val="00DB0070"/>
    <w:rsid w:val="00DF2DB8"/>
    <w:rsid w:val="00DF5696"/>
    <w:rsid w:val="00E016C9"/>
    <w:rsid w:val="00E445B3"/>
    <w:rsid w:val="00E50E8E"/>
    <w:rsid w:val="00E6159C"/>
    <w:rsid w:val="00E66B51"/>
    <w:rsid w:val="00E6782E"/>
    <w:rsid w:val="00E67EF7"/>
    <w:rsid w:val="00E72890"/>
    <w:rsid w:val="00E762C8"/>
    <w:rsid w:val="00EA147A"/>
    <w:rsid w:val="00EE185D"/>
    <w:rsid w:val="00EE1C51"/>
    <w:rsid w:val="00F1394A"/>
    <w:rsid w:val="00F3453D"/>
    <w:rsid w:val="00F47D07"/>
    <w:rsid w:val="00F5572F"/>
    <w:rsid w:val="00F865CD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C61FB0"/>
  <w15:docId w15:val="{7AE4AEC8-F8EA-4371-9B4B-7EB1864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51"/>
  </w:style>
  <w:style w:type="paragraph" w:styleId="Footer">
    <w:name w:val="footer"/>
    <w:basedOn w:val="Normal"/>
    <w:link w:val="FooterChar"/>
    <w:uiPriority w:val="99"/>
    <w:unhideWhenUsed/>
    <w:rsid w:val="00E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51"/>
  </w:style>
  <w:style w:type="character" w:styleId="CommentReference">
    <w:name w:val="annotation reference"/>
    <w:basedOn w:val="DefaultParagraphFont"/>
    <w:uiPriority w:val="99"/>
    <w:semiHidden/>
    <w:unhideWhenUsed/>
    <w:rsid w:val="00787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6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C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sacctsetup@uoguelp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03B9-CDCA-4FB5-A834-D88FE03E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Sawlor, Amanda</dc:creator>
  <cp:lastModifiedBy>agill13</cp:lastModifiedBy>
  <cp:revision>4</cp:revision>
  <cp:lastPrinted>2018-09-04T15:30:00Z</cp:lastPrinted>
  <dcterms:created xsi:type="dcterms:W3CDTF">2019-03-13T12:56:00Z</dcterms:created>
  <dcterms:modified xsi:type="dcterms:W3CDTF">2023-01-11T22:14:00Z</dcterms:modified>
</cp:coreProperties>
</file>